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d’interruption de grossesse et de deuxième parent. Autorisation spéciale d’absence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Cour administrative d’appel de Lyon a suspendu la note de service établie par un président d’une métropole instaurant un congé d’interruption de grossesse et un congé deuxième parent.</w:t>
      </w:r>
    </w:p>
    <w:p>
      <w:pPr/>
      <w:r>
        <w:rPr/>
        <w:t xml:space="preserve">La juridiction a estimé qu’en l’état de l’instruction, l’« interruption de grossesse » ne relevait pas des catégories « parentalité » et « évènements familiaux » prévues par </w:t>
      </w:r>
      <w:hyperlink r:id="rId7" w:history="1">
        <w:r>
          <w:rPr/>
          <w:t xml:space="preserve">l’article L 622-1</w:t>
        </w:r>
      </w:hyperlink>
      <w:r>
        <w:rPr/>
        <w:t xml:space="preserve"> du code général de la fonction publique relatif aux autorisations spéciales d'absence, et que le « congé deuxième parent », prolongeant le congé de paternité au-delà des textes, pouvait également soulever un doute sérieux de légalité (CAA Lyon, 11 septembre 2025, n° 25LY01973).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82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2026-06-09T03:50:03+02:00</dcterms:created>
  <dcterms:modified xsi:type="dcterms:W3CDTF">2026-06-09T03:50:03+02:00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