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Marchés publics inférieurs à 25 000 € HT. Accord verbal (oui). Respect des obligations consécutives à la conclusion du marché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Il résulte des articles </w:t>
      </w:r>
      <w:hyperlink r:id="rId7" w:history="1">
        <w:r>
          <w:rPr/>
          <w:t xml:space="preserve">L 2112-1 </w:t>
        </w:r>
      </w:hyperlink>
      <w:r>
        <w:rPr/>
        <w:t xml:space="preserve">et </w:t>
      </w:r>
      <w:hyperlink r:id="rId8" w:history="1">
        <w:r>
          <w:rPr/>
          <w:t xml:space="preserve">R 2112-1</w:t>
        </w:r>
      </w:hyperlink>
      <w:r>
        <w:rPr/>
        <w:t xml:space="preserve"> du code de la commande publique que les marchés d'un montant inférieur à 25 000 € HT peuvent être verbaux et ne pas être conclus par écrit.</w:t>
      </w:r>
    </w:p>
    <w:p>
      <w:pPr/>
      <w:r>
        <w:rPr/>
        <w:t xml:space="preserve">En l'espèce, une commune demandait réparation après le vol d’un véhicule confié pour réparation, estimant que la société avait une obligation de garde. </w:t>
      </w:r>
    </w:p>
    <w:p>
      <w:pPr/>
      <w:r>
        <w:rPr/>
        <w:t xml:space="preserve">La Cour administrative d'appel de Versailles juge que le véhicule avait bien été confié dans le cadre d’un marché public verbal, impliquant une telle obligation (CAA Versailles, 8 juillet 2025, n° 22VE01385).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37703466" TargetMode="External"/><Relationship Id="rId8" Type="http://schemas.openxmlformats.org/officeDocument/2006/relationships/hyperlink" Target="https://www.legifrance.gouv.fr/codes/article_lc/LEGIARTI0000377309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2026-08-25T21:05:25+02:00</dcterms:created>
  <dcterms:modified xsi:type="dcterms:W3CDTF">2026-08-25T21:05:25+02:00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