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Absence de candidats dans les communes. Délégation spéciale. Composition et pouvoirs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Suite à la loi promulguée le 22 mai 2025, dans les communes de moins de 1 000 habitants, les listes candidates seront réputées complètes à l'issue d'une élection générale ou complémentaire, si elles comptent jusqu'à deux candidats de moins que l'effectif légal, tel que prévu par les dispositions de l'article L 2121-2 du CGCT (</w:t>
      </w:r>
      <w:hyperlink r:id="rId7" w:history="1">
        <w:r>
          <w:rPr/>
          <w:t xml:space="preserve">art. L 252</w:t>
        </w:r>
      </w:hyperlink>
      <w:r>
        <w:rPr/>
        <w:t xml:space="preserve"> nouveau du code électoral).</w:t>
      </w:r>
    </w:p>
    <w:p>
      <w:pPr/>
      <w:r>
        <w:rPr/>
        <w:t xml:space="preserve">En cohérence avec ces dispositions, la loi étend le bénéfice de la dérogation au principe de complétude du conseil municipal aux communes de 500 à 999 habitants lorsque celui-ci compte jusqu'à 2 membres de moins que l'effectif légal. Il est actuellement réservé aux communes de moins de 500 habitants (modification de </w:t>
      </w:r>
      <w:hyperlink r:id="rId8" w:history="1">
        <w:r>
          <w:rPr/>
          <w:t xml:space="preserve">l'article L 5211-6-2</w:t>
        </w:r>
      </w:hyperlink>
      <w:r>
        <w:rPr/>
        <w:t xml:space="preserve"> du CGCT).</w:t>
      </w:r>
    </w:p>
    <w:p>
      <w:pPr/>
      <w:r>
        <w:rPr/>
        <w:t xml:space="preserve">Par conséquent, en application du principe de l’exception d’incomplétude, et dans les conditions prévues à </w:t>
      </w:r>
      <w:hyperlink r:id="rId9" w:history="1">
        <w:r>
          <w:rPr/>
          <w:t xml:space="preserve">l’article L 2121-2-1</w:t>
        </w:r>
      </w:hyperlink>
      <w:r>
        <w:rPr/>
        <w:t xml:space="preserve"> du CGCT, le conseil municipal est réputé complet lorsque son effectif est au moins égal à 5 membres pour les communes de moins de 100 habitants, à 9 membres pour celles de 100 à 499 habitants et à 13 membres pour les communes de 500 à 999 habitants. Les listes incomplètes peuvent ainsi comprendre autant de membres que le seuil fixé par l’exception d’incomplétude.</w:t>
      </w:r>
    </w:p>
    <w:p>
      <w:pPr/>
      <w:r>
        <w:rPr/>
        <w:t xml:space="preserve">En outre, la loi maintient l'organisation d'élections complémentaires partielles dans les communes de moins de 1 000 habitants afin d'éviter de convoquer des élections intégrales partielles dans ces communes en cas de vacance de sièges et lorsqu'il n'est plus possible de recourir aux suivants de liste (modification de </w:t>
      </w:r>
      <w:hyperlink r:id="rId10" w:history="1">
        <w:r>
          <w:rPr/>
          <w:t xml:space="preserve">l'article L 258</w:t>
        </w:r>
      </w:hyperlink>
      <w:r>
        <w:rPr/>
        <w:t xml:space="preserve"> du code électoral et création de </w:t>
      </w:r>
      <w:hyperlink r:id="rId11" w:history="1">
        <w:r>
          <w:rPr/>
          <w:t xml:space="preserve">l'article L 258-1</w:t>
        </w:r>
      </w:hyperlink>
      <w:r>
        <w:rPr/>
        <w:t xml:space="preserve"> du code électoral).</w:t>
      </w:r>
    </w:p>
    <w:p>
      <w:pPr/>
      <w:r>
        <w:rPr/>
        <w:t xml:space="preserve">Ces élections complémentaires sont nécessaires, dans les 3 mois de la dernière vacance, si le conseil municipal a perdu au moins le tiers de ses membres ou s’il compte moins de 5 membres. Toutefois, à partir du 1</w:t>
      </w:r>
      <w:r>
        <w:rPr>
          <w:vertAlign w:val="superscript"/>
        </w:rPr>
        <w:t xml:space="preserve">er</w:t>
      </w:r>
      <w:r>
        <w:rPr/>
        <w:t xml:space="preserve"> janvier de l’année qui précède le renouvellement général des conseils municipaux, les élections ne sont obligatoires que dans le cas où le conseil municipal a perdu la moitié ou plus de ses membres ou qu’il compte moins de quatre membres. Elles doivent également être organisées s’il est nécessaire de compléter le conseil avant l’élection d’un nouveau maire.</w:t>
      </w:r>
    </w:p>
    <w:p>
      <w:pPr/>
      <w:r>
        <w:rPr>
          <w:b w:val="1"/>
          <w:bCs w:val="1"/>
        </w:rPr>
        <w:t xml:space="preserve">2. </w:t>
      </w:r>
      <w:r>
        <w:rPr/>
        <w:t xml:space="preserve">Si aucune liste ne s'est présentée dans une commune à l'issue du renouvellement général des conseils municipaux, les dispositions de </w:t>
      </w:r>
      <w:hyperlink r:id="rId12" w:history="1">
        <w:r>
          <w:rPr/>
          <w:t xml:space="preserve">l'article L 2121-35</w:t>
        </w:r>
      </w:hyperlink>
      <w:r>
        <w:rPr/>
        <w:t xml:space="preserve"> du CGCT prévoient la mise en place temporaire d'une délégation spéciale, nommée par arrêté du représentant de l'Etat dans le département. Cette délégation doit être instituée dans un délai de huit jours à compter de la constatation de l'impossibilité de constituer le conseil municipal de la commune.</w:t>
      </w:r>
    </w:p>
    <w:p>
      <w:pPr/>
      <w:r>
        <w:rPr/>
        <w:t xml:space="preserve">La délégation est constituée de 3 membres dans les communes de moins de 35 000 habitants, et son nombre peut être porté jusqu'à 7 dans les communes d'une population supérieure (</w:t>
      </w:r>
      <w:hyperlink r:id="rId13" w:history="1">
        <w:r>
          <w:rPr/>
          <w:t xml:space="preserve">art. L 2121-37</w:t>
        </w:r>
      </w:hyperlink>
      <w:r>
        <w:rPr/>
        <w:t xml:space="preserve"> du CGCT). Sa composition ne fait l'objet d'aucune disposition législative ou réglementaire spécifique, même s'il est recommandé qu'elle soit constituée de personnalités locales ayant l'autorité ou les compétences nécessaires et considérées comme neutres politiquement.</w:t>
      </w:r>
    </w:p>
    <w:p>
      <w:pPr/>
      <w:r>
        <w:rPr/>
        <w:t xml:space="preserve">La délégation spéciale aura la charge d'administrer la commune le temps d'organiser de nouvelles élections municipales partielles. Ses pouvoirs sont limités aux actes de pure administration conservatoire et urgente. Elle ne peut engager les finances municipales au-delà des ressources disponibles pour l'exercice courant, et ne peut, ni préparer le budget communal, ni recevoir les comptes du maire, ni modifier le personnel ou le régime de l'enseignement public (</w:t>
      </w:r>
      <w:hyperlink r:id="rId14" w:history="1">
        <w:r>
          <w:rPr/>
          <w:t xml:space="preserve">art. L 2121-38</w:t>
        </w:r>
      </w:hyperlink>
      <w:r>
        <w:rPr/>
        <w:t xml:space="preserve"> du CGCT).</w:t>
      </w:r>
    </w:p>
    <w:p>
      <w:pPr/>
      <w:r>
        <w:rPr/>
        <w:t xml:space="preserve">Les fonctions de cette délégation spéciale expirent de plein droit dès lors que le conseil municipal est reconstitué. Les dispositions des articles </w:t>
      </w:r>
      <w:hyperlink r:id="rId15" w:history="1">
        <w:r>
          <w:rPr/>
          <w:t xml:space="preserve">L 258</w:t>
        </w:r>
      </w:hyperlink>
      <w:r>
        <w:rPr/>
        <w:t xml:space="preserve"> et </w:t>
      </w:r>
      <w:hyperlink r:id="rId16" w:history="1">
        <w:r>
          <w:rPr/>
          <w:t xml:space="preserve">L 270</w:t>
        </w:r>
      </w:hyperlink>
      <w:r>
        <w:rPr/>
        <w:t xml:space="preserve"> du code électoral prévoient que le représentant de l'État dans le département doit organiser de nouvelles élections municipales dans la commune considérée dans un délai de 3 mois suivant le constat de la vacance du conseil municipal à l'issue des élections générales (</w:t>
      </w:r>
      <w:r>
        <w:rPr>
          <w:i w:val="1"/>
          <w:iCs w:val="1"/>
        </w:rPr>
        <w:t xml:space="preserve">JO </w:t>
      </w:r>
      <w:r>
        <w:rPr/>
        <w:t xml:space="preserve">Sénat, 17.07.2025, question n° 02459, p. 4142).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45237/2222-02-22" TargetMode="External"/><Relationship Id="rId8" Type="http://schemas.openxmlformats.org/officeDocument/2006/relationships/hyperlink" Target="https://www.legifrance.gouv.fr/codes/article_lc/LEGIARTI000051645299/2222-02-22/" TargetMode="External"/><Relationship Id="rId9" Type="http://schemas.openxmlformats.org/officeDocument/2006/relationships/hyperlink" Target="https://www.legifrance.gouv.fr/codes/article_lc/LEGIARTI000051645319/2222-02-22/" TargetMode="External"/><Relationship Id="rId10" Type="http://schemas.openxmlformats.org/officeDocument/2006/relationships/hyperlink" Target="https://www.legifrance.gouv.fr/codes/article_lc/LEGIARTI000051645267" TargetMode="External"/><Relationship Id="rId11" Type="http://schemas.openxmlformats.org/officeDocument/2006/relationships/hyperlink" Target="https://www.legifrance.gouv.fr/codes/article_lc/LEGIARTI000051645273" TargetMode="External"/><Relationship Id="rId12" Type="http://schemas.openxmlformats.org/officeDocument/2006/relationships/hyperlink" Target="https://www.legifrance.gouv.fr/codes/article_lc/LEGIARTI000006389901" TargetMode="External"/><Relationship Id="rId13" Type="http://schemas.openxmlformats.org/officeDocument/2006/relationships/hyperlink" Target="https://www.legifrance.gouv.fr/codes/article_lc/LEGIARTI000006389903" TargetMode="External"/><Relationship Id="rId14" Type="http://schemas.openxmlformats.org/officeDocument/2006/relationships/hyperlink" Target="https://www.legifrance.gouv.fr/codes/article_lc/LEGIARTI000006389906" TargetMode="External"/><Relationship Id="rId15" Type="http://schemas.openxmlformats.org/officeDocument/2006/relationships/hyperlink" Target="https://www.legifrance.gouv.fr/codes/article_lc/LEGIARTI000041410962" TargetMode="External"/><Relationship Id="rId16" Type="http://schemas.openxmlformats.org/officeDocument/2006/relationships/hyperlink" Target="https://www.legifrance.gouv.fr/codes/article_lc/LEGIARTI000041411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2026-04-25T00:38:47+02:00</dcterms:created>
  <dcterms:modified xsi:type="dcterms:W3CDTF">2026-04-25T00:38:47+02:00</dcterms:modified>
</cp:coreProperties>
</file>

<file path=docProps/custom.xml><?xml version="1.0" encoding="utf-8"?>
<Properties xmlns="http://schemas.openxmlformats.org/officeDocument/2006/custom-properties" xmlns:vt="http://schemas.openxmlformats.org/officeDocument/2006/docPropsVTypes"/>
</file>