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Monument aux morts. Refus d’inscription du nom d’un défunt. Mention "Mort pour la France" sur l'acte de décès</w:t>
      </w:r>
    </w:p>
    <w:p>
      <w:pPr>
        <w:pStyle w:val="Heading2"/>
      </w:pPr>
      <w:r>
        <w:rPr/>
        <w:t xml:space="preserve">Revue - Etat Civil</w:t>
      </w:r>
    </w:p>
    <w:p>
      <w:pPr>
        <w:pStyle w:val="Heading3"/>
      </w:pPr>
      <w:r>
        <w:rPr/>
        <w:t xml:space="preserve">Source - Jurisprudence</w:t>
      </w:r>
    </w:p>
    <w:p/>
    <w:p>
      <w:pPr/>
      <w:r>
        <w:rPr>
          <w:b w:val="1"/>
          <w:bCs w:val="1"/>
          <w:i w:val="1"/>
          <w:iCs w:val="1"/>
        </w:rPr>
        <w:t xml:space="preserve">Le Tribunal administratif de Dijon a annulé la décision du conseil municipal refusant l'inscription du nom d'un défunt sur le monument aux morts car la mention « Mort pour la France » était présente sur l'acte de décès et que le dernier domicile du défunt était dans la commune. </w:t>
      </w:r>
    </w:p>
    <w:p>
      <w:pPr/>
      <w:r>
        <w:rPr/>
        <w:t xml:space="preserve">Aux termes de </w:t>
      </w:r>
      <w:hyperlink r:id="rId7" w:history="1">
        <w:r>
          <w:rPr/>
          <w:t xml:space="preserve">l'article L 515-1</w:t>
        </w:r>
      </w:hyperlink>
      <w:r>
        <w:rPr/>
        <w:t xml:space="preserve"> du code des pensions militaires d'invalidité et des victimes de guerre : « lorsque la mention « Mort pour la France » a été portée sur l'acte de décès dans les conditions prévues au chapitre I</w:t>
      </w:r>
      <w:r>
        <w:rPr>
          <w:vertAlign w:val="superscript"/>
        </w:rPr>
        <w:t xml:space="preserve">er</w:t>
      </w:r>
      <w:r>
        <w:rPr/>
        <w:t xml:space="preserve"> du présent titre, l'inscription du nom du défunt sur le monument aux morts de sa commune de naissance ou du dernier domicile ou sur une stèle placée dans l'environnement immédiat de ce monument est obligatoire. La demande d'inscription est adressée au maire de la commune choisie par la famille ou, à défaut, par les autorités militaires, les élus nationaux, les élus locaux, l'Office national des anciens combattants et victimes de guerre par l'intermédiaire de ses services territoriaux ou des associations ayant intérêt à agir ».</w:t>
      </w:r>
    </w:p>
    <w:p>
      <w:pPr/>
      <w:r>
        <w:rPr/>
        <w:t xml:space="preserve">Il résulte des dispositions précitées que l'inscription du nom des personnes dont l'acte de décès porte la mention « Mort pour la France » sur le monument aux morts de la commune de leur naissance ou de leur dernier domicile est obligatoire.</w:t>
      </w:r>
    </w:p>
    <w:p>
      <w:pPr/>
      <w:r>
        <w:rPr/>
        <w:t xml:space="preserve">En refusant l'inscription du nom du défunt sur le monument aux morts de la commune, alors qu'il ressort des pièces du dossier que la mention « Mort pour la France » a été portée en marge de l'acte de décès de l'intéressé et que son dernier domicile se situait dans la commune, le conseil municipal a méconnu les dispositions précitées de l'article L 515-1 du code des pensions militaires d'invalidité et des victimes de guerre.</w:t>
      </w:r>
    </w:p>
    <w:p>
      <w:pPr/>
      <w:r>
        <w:rPr/>
        <w:t xml:space="preserve">La délibération refusant l’inscription sur le monument aux morts est annulée et le maire doit faire procéder à l'inscription sur le monument aux morts de cette commune, dans un délai de 2 mois à compter de la notification du présent jugement.</w:t>
      </w:r>
    </w:p>
    <w:p>
      <w:pPr/>
      <w:r>
        <w:rPr/>
        <w:t xml:space="preserve">Le préfet est chargé de pourvoir à l'exécution de la présente décision</w:t>
      </w:r>
      <w:r>
        <w:rPr>
          <w:i w:val="1"/>
          <w:iCs w:val="1"/>
        </w:rPr>
        <w:t xml:space="preserve"> </w:t>
      </w:r>
      <w:r>
        <w:rPr/>
        <w:t xml:space="preserve">(</w:t>
      </w:r>
      <w:r>
        <w:rPr>
          <w:rFonts w:ascii="&quot;Arial&quot;" w:hAnsi="&quot;Arial&quot;" w:eastAsia="&quot;Arial&quot;" w:cs="&quot;Arial&quot;"/>
          <w:sz w:val="20"/>
          <w:szCs w:val="20"/>
        </w:rPr>
        <w:t xml:space="preserve">TA Dijon, 10 juin 2025, n° 2403259).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79257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2026-01-22T13:15:04+01:00</dcterms:created>
  <dcterms:modified xsi:type="dcterms:W3CDTF">2026-01-22T13:15:04+01:00</dcterms:modified>
</cp:coreProperties>
</file>

<file path=docProps/custom.xml><?xml version="1.0" encoding="utf-8"?>
<Properties xmlns="http://schemas.openxmlformats.org/officeDocument/2006/custom-properties" xmlns:vt="http://schemas.openxmlformats.org/officeDocument/2006/docPropsVTypes"/>
</file>