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Mise à disposition d’un local à une association. Promesse non tenue. Indemnisation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assurance erronée donnée par une commune, s'engageant faussement à mettre un local à disposition, constitue une faute engageant sa responsabilité, même sans promesse ferme, dès lors qu’elle savait le projet irréalisable, sous réserve d’un partage de responsabilité en cas d’imprudence de la victime.</w:t>
      </w:r>
    </w:p>
    <w:p>
      <w:pPr/>
      <w:r>
        <w:rPr/>
        <w:t xml:space="preserve">L’association réclamait 873 399,42 € et 70 000 € à la commune pour promesse non tenue de mise à disposition d’un local pour son espace musical.</w:t>
      </w:r>
    </w:p>
    <w:p>
      <w:pPr/>
      <w:r>
        <w:rPr/>
        <w:t xml:space="preserve">La cour retient la faute de la commune pour avoir donné de fausses assurances, mais seule une indemnisation de 3 000 € au titre du préjudice moral est accordée, avec intérêts, l’association ne justifiant pas ses autres préjudices (CAA Marseille, 11 juin 2025, </w:t>
      </w:r>
      <w:r>
        <w:rPr>
          <w:i w:val="1"/>
          <w:iCs w:val="1"/>
        </w:rPr>
        <w:t xml:space="preserve">association La source</w:t>
      </w:r>
      <w:r>
        <w:rPr/>
        <w:t xml:space="preserve">, n° 23MA01819).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2026-01-22T13:41:33+01:00</dcterms:created>
  <dcterms:modified xsi:type="dcterms:W3CDTF">2026-01-22T13:41:33+01:00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