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Congés menstruels. Refus. Circulaire du 21 mai 2025 (DGCL)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Une circulaire de la DGCL du 21 mai 2025 est relative au contrôle de légalité des délibérations instaurant des autorisations spéciales d’absences pour des congés relatifs à la « santé menstruelle ou gynécologique ».</w:t>
      </w:r>
    </w:p>
    <w:p>
      <w:pPr/>
      <w:r>
        <w:rPr/>
        <w:t xml:space="preserve">La DGCL a demandé aux préfets de refuser systématiquement les congés menstruels dans les collectivités, arguant que seul le cadre juridique national peut instituer de tels congés.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2026-01-22T13:36:08+01:00</dcterms:created>
  <dcterms:modified xsi:type="dcterms:W3CDTF">2026-01-22T13:36:08+01:00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