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Immeubles indignes à titre remédiable. Procédure d'expropriation pour cause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9</w:t>
        </w:r>
      </w:hyperlink>
      <w:r>
        <w:rPr/>
        <w:t xml:space="preserve"> de la loi n° 2024-322 du 9 avril 2024 visant à l'accélération et à la simplification de la rénovation de l'habitat dégradé et des grandes opérations d'aménagement prévoit la création d'une procédure d'expropriation pour cause d'utilité publique des immeubles indignes à titre remédiable. Cette procédure d'expropriation pour cause d'utilité publique à titre remédiable, prévue aux </w:t>
      </w:r>
      <w:hyperlink r:id="rId8" w:history="1">
        <w:r>
          <w:rPr/>
          <w:t xml:space="preserve">articles L 512-1 et suivants</w:t>
        </w:r>
      </w:hyperlink>
      <w:r>
        <w:rPr/>
        <w:t xml:space="preserve"> du code de l'expropriation pour cause d'utilité publique, vise à permettre à l'autorité administrative de réaliser des travaux de rénovation de bâtiments en amont de leur dégradation définitive, afin d'éviter la démolition.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n° 2025-419 du 12 mai 2025 précise les modalités de mise en œuvre de cette procédure d'expropriation pour cause d'utilité publique à titre remédiable.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9392473" TargetMode="External"/><Relationship Id="rId8" Type="http://schemas.openxmlformats.org/officeDocument/2006/relationships/hyperlink" Target="https://www.legifrance.gouv.fr/codes/section_lc/LEGITEXT000006074224/LEGISCTA000049394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2026-04-25T02:09:57+02:00</dcterms:created>
  <dcterms:modified xsi:type="dcterms:W3CDTF">2026-04-25T02:09:57+02:00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