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Ouvrages des réseaux publics d'électricité. Instruction des demandes de déclaration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2025-427 du 14 mai 2025 modifie plusieurs modalités d'instruction des demandes de déclaration d'utilité publique des ouvrages des réseaux publics d'électricité :</w:t>
      </w:r>
    </w:p>
    <w:p>
      <w:pPr/>
      <w:r>
        <w:rPr/>
        <w:t xml:space="preserve">- le transfert de compétence au préfet des instructions de projets de tension 225 kilovolts ;</w:t>
      </w:r>
      <w:br/>
      <w:r>
        <w:rPr/>
        <w:t xml:space="preserve"> - la modification des délais de consultation des maires et des services ;</w:t>
      </w:r>
      <w:br/>
      <w:r>
        <w:rPr/>
        <w:t xml:space="preserve"> - l'encadrement du temps laissé à l'autorité compétente pour se prononcer sur une demande après consultation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2026-01-22T13:51:07+01:00</dcterms:created>
  <dcterms:modified xsi:type="dcterms:W3CDTF">2026-01-22T13:51:07+01:00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