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Consommation de narguilé. Arrêté d’interdiction. Risque de troubles à l'ordre public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association a demandé l'annulation d'un arrêté d'un maire qui interdisait la consommation de narguilé dans certains secteurs de la commune pendant des heures spécifiques.</w:t>
      </w:r>
    </w:p>
    <w:p>
      <w:pPr/>
      <w:r>
        <w:rPr/>
        <w:t xml:space="preserve">La cour a jugé que l'arrêté n'était pas suffisamment justifié par des preuves tangibles de troubles à l'ordre public directement liés à la consommation de narguilé et a donc estimé que les restrictions imposées n'étaient ni adaptées ni nécessaires ni proportionnées aux objectifs de maintien de l'ordre public.</w:t>
      </w:r>
    </w:p>
    <w:p>
      <w:pPr/>
      <w:r>
        <w:rPr/>
        <w:t xml:space="preserve">En vertu des principes de proportionnalité et d'adaptation des mesures de police, essentiels pour justifier les restrictions aux libertés publiques, le tribunal a annulé l'arrêté du maire, considérant qu'il n'était pas fondé sur des faits matériellement exacts démontrant un besoin de telle restriction pour préserver l'ordre public (TA Lille, 26 mars 2025, n° 2207960).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2026-03-10T03:37:21+01:00</dcterms:created>
  <dcterms:modified xsi:type="dcterms:W3CDTF">2026-03-10T03:37:21+01:00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