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Inhumation des personnes dépourvues de ressources suffisantes. Obligations du maire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L’obligation, pour le maire, de pourvoir à l’inhumation des personnes dépourvues de ressources suffisantes résulte de la lecture combinée de </w:t>
      </w:r>
      <w:hyperlink r:id="rId7" w:history="1">
        <w:r>
          <w:rPr/>
          <w:t xml:space="preserve">l’article L 2223-19</w:t>
        </w:r>
      </w:hyperlink>
      <w:r>
        <w:rPr/>
        <w:t xml:space="preserve"> du CGCT, lequel dispose que « le service extérieur des pompes funèbres est une mission de service public comprenant : (…) 2º L’organisation des obsèques » et de </w:t>
      </w:r>
      <w:hyperlink r:id="rId8" w:history="1">
        <w:r>
          <w:rPr/>
          <w:t xml:space="preserve">l’article L 2223-27 (al. 1)</w:t>
        </w:r>
      </w:hyperlink>
      <w:r>
        <w:rPr/>
        <w:t xml:space="preserve"> du même code, lequel dispose que « le service est gratuit pour les personnes dépourvues de ressources suffisantes ».</w:t>
      </w:r>
    </w:p>
    <w:p>
      <w:pPr/>
      <w:r>
        <w:rPr/>
        <w:t xml:space="preserve">Cette obligation est renforcée par le pouvoir de police des funérailles et des lieux de sépulture dont dispose le maire, sur le fondement de </w:t>
      </w:r>
      <w:hyperlink r:id="rId9" w:history="1">
        <w:r>
          <w:rPr/>
          <w:t xml:space="preserve">l’article L 2213-7</w:t>
        </w:r>
      </w:hyperlink>
      <w:r>
        <w:rPr/>
        <w:t xml:space="preserve"> du CGCT, lequel dispose que « le maire ou, à défaut, le représentant de l’État dans le département pourvoit d’urgence à ce que toute personne décédée soit ensevelie et inhumée décemment sans distinction de culte ni de croyance ».</w:t>
      </w:r>
    </w:p>
    <w:p>
      <w:pPr/>
      <w:r>
        <w:rPr/>
        <w:t xml:space="preserve">L’article L 2223-27 (al. 2) du CGCT dispose que « lorsque la mission de service public définie à l’article L 2223-19 n’est pas assurée par la commune, celle-ci prend en charge les frais d’obsèques de ces personnes. Elle choisit l’organisme qui assurera ces obsèques. Le maire fait procéder à la crémation du corps lorsque le défunt en a exprimé la volonté ».</w:t>
      </w:r>
    </w:p>
    <w:p>
      <w:pPr/>
      <w:r>
        <w:rPr/>
        <w:t xml:space="preserve">Ainsi, lorsque le service de pompes funèbres est assuré directement par la commune, elle a l’obligation de procéder aux obsèques de ces personnes. Si tel n’est pas le cas, elle s’adresse pour ce faire à un opérateur funéraire habilité et prend à sa charge les frais d’obsèques.</w:t>
      </w:r>
    </w:p>
    <w:p>
      <w:pPr/>
      <w:r>
        <w:rPr/>
        <w:t xml:space="preserve">S’agissant de la notion de « personnes sans ressources suffisantes » pour lesquelles la prise en charge des obsèques s’impose à la commune, il doit être rappelé que celle-ci n’est pas légalement définie et doit s’apprécier localement et au cas par cas. Cette appréciation repose toutefois sur des fondements juridiques solides.</w:t>
      </w:r>
    </w:p>
    <w:p>
      <w:pPr/>
      <w:r>
        <w:rPr/>
        <w:t xml:space="preserve">Ainsi, une personne dépourvue de ressources suffisantes est une personne qui est à la fois dépourvue d’un actif successoral permettant de couvrir le coût des obsèques et de créanciers alimentaires (enfants, parents, beaux-parents), ou de conjoint survivant, disposant des moyens suffisants pour le paiement de ces frais.</w:t>
      </w:r>
    </w:p>
    <w:p>
      <w:pPr/>
      <w:r>
        <w:rPr/>
        <w:t xml:space="preserve">Dans l’hypothèse où la famille refuse de payer en dépit de ses obligations, le maire procède aux funérailles sur le fondement de l’article L 2213-7 du CGCT précité et dispose d’une action récursoire contre les ayants droit du défunt (</w:t>
      </w:r>
      <w:r>
        <w:rPr>
          <w:i w:val="1"/>
          <w:iCs w:val="1"/>
        </w:rPr>
        <w:t xml:space="preserve">JO </w:t>
      </w:r>
      <w:r>
        <w:rPr/>
        <w:t xml:space="preserve">Sénat, 20.02.2025, question n° 02881, p. 725).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932403" TargetMode="External"/><Relationship Id="rId8" Type="http://schemas.openxmlformats.org/officeDocument/2006/relationships/hyperlink" Target="https://www.legifrance.gouv.fr/codes/article_lc/LEGIARTI000019983187" TargetMode="External"/><Relationship Id="rId9" Type="http://schemas.openxmlformats.org/officeDocument/2006/relationships/hyperlink" Target="https://www.legifrance.gouv.fr/codes/article_lc/LEGIARTI00000639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2026-04-25T01:00:19+02:00</dcterms:created>
  <dcterms:modified xsi:type="dcterms:W3CDTF">2026-04-25T01:00:19+02:00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