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de réception des travaux. Code civil. Prescription de 5 ans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d'État rappelle que </w:t>
      </w:r>
      <w:hyperlink r:id="rId7" w:history="1">
        <w:r>
          <w:rPr/>
          <w:t xml:space="preserve">l'article 2224</w:t>
        </w:r>
      </w:hyperlink>
      <w:r>
        <w:rPr/>
        <w:t xml:space="preserve"> du code civil prévoit une prescription de 5 ans pour les actions personnelles ou mobilières, à compter du moment où le titulaire d'un droit a connaissance des faits permettant de l'exercer.</w:t>
      </w:r>
    </w:p>
    <w:p>
      <w:pPr/>
      <w:r>
        <w:rPr/>
        <w:t xml:space="preserve">Dans un marché public, en l'absence de réception des travaux, ce délai commence à courir dès la manifestation du dommage, c'est-à-dire lorsque la victime a une connaissance suffisamment certaine de son étendue, même si le responsable n'est pas encore identifié (CE, 30 décembre 2024, </w:t>
      </w:r>
      <w:r>
        <w:rPr>
          <w:i w:val="1"/>
          <w:iCs w:val="1"/>
        </w:rPr>
        <w:t xml:space="preserve">chambre d'agriculture de l'Orne</w:t>
      </w:r>
      <w:r>
        <w:rPr/>
        <w:t xml:space="preserve">, n° 491818).</w:t>
      </w:r>
    </w:p>
    <w:p>
      <w:pPr/>
      <w:r>
        <w:rPr>
          <w:b w:val="1"/>
          <w:bCs w:val="1"/>
          <w:i w:val="1"/>
          <w:iCs w:val="1"/>
        </w:rPr>
        <w:t xml:space="preserve">NB : </w:t>
      </w:r>
      <w:r>
        <w:rPr>
          <w:i w:val="1"/>
          <w:iCs w:val="1"/>
        </w:rPr>
        <w:t xml:space="preserve">cette jurisprudence pourrait s’appliquer aux communes et EPCI pour les marchés publics de travaux non réceptionnés et non soumis au CCAG-Travaux.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19017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2026-01-22T13:37:07+01:00</dcterms:created>
  <dcterms:modified xsi:type="dcterms:W3CDTF">2026-01-22T13:37:07+01:00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