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Garantie décennale. Étendue des désordres. Éléments d'équipement dissociables de l'ouvrage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La responsabilité décennale des constructeurs couvre les désordres apparus dans les 10 ans suivant la réception de l'ouvrage, même s'ils ne se sont pas pleinement révélés avant l'expiration de ce délai. </w:t>
      </w:r>
    </w:p>
    <w:p>
      <w:pPr/>
      <w:r>
        <w:rPr/>
        <w:t xml:space="preserve">La responsabilité peut être engagée pour des dommages sur des éléments d'équipement dissociables de l'ouvrage s'ils rendent celui-ci impropre à sa destination (CAA Nantes, 13 décembre 2024, </w:t>
      </w:r>
      <w:r>
        <w:rPr>
          <w:i w:val="1"/>
          <w:iCs w:val="1"/>
        </w:rPr>
        <w:t xml:space="preserve">CCINSN</w:t>
      </w:r>
      <w:r>
        <w:rPr/>
        <w:t xml:space="preserve">, n° 23NT01974).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2026-03-09T23:30:52+01:00</dcterms:created>
  <dcterms:modified xsi:type="dcterms:W3CDTF">2026-03-09T23:30:52+01:00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