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Retrait d'un EPCI. Répartition des biens et de la trésorerie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</w:rPr>
        <w:t xml:space="preserve">1. </w:t>
      </w:r>
      <w:r>
        <w:rPr/>
        <w:t xml:space="preserve">En cas de retrait d’une commune d’un EPCI (art. </w:t>
      </w:r>
      <w:hyperlink r:id="rId7" w:history="1">
        <w:r>
          <w:rPr/>
          <w:t xml:space="preserve">L 5211-19</w:t>
        </w:r>
      </w:hyperlink>
      <w:r>
        <w:rPr/>
        <w:t xml:space="preserve"> et </w:t>
      </w:r>
      <w:hyperlink r:id="rId8" w:history="1">
        <w:r>
          <w:rPr/>
          <w:t xml:space="preserve">L 5211-25-1</w:t>
        </w:r>
      </w:hyperlink>
      <w:r>
        <w:rPr/>
        <w:t xml:space="preserve"> du CGCT), il appartient à la commune et à l’établissement ou, à défaut d’accord, au préfet, de procéder à la répartition :</w:t>
      </w:r>
    </w:p>
    <w:p>
      <w:pPr/>
      <w:r>
        <w:rPr/>
        <w:t xml:space="preserve">- d’une part, de l’ensemble des actifs dont l’établissement est devenu propriétaire postérieurement au transfert de compétences, à l’exception des disponibilités nécessaires pour faire face aux besoins de financement relatifs à des opérations décidées avant la date de la répartition et non encore retracées au bilan de l’établissement public ;</w:t>
      </w:r>
      <w:br/>
      <w:r>
        <w:rPr/>
        <w:t xml:space="preserve"> - d’autre part, de l’encours de la dette contractée postérieurement au transfert de compétences.</w:t>
      </w:r>
    </w:p>
    <w:p>
      <w:pPr/>
      <w:r>
        <w:rPr/>
        <w:t xml:space="preserve">Cette répartition doit être fixée dans le but, notamment, de garantir un partage équilibré compte tenu de l’importance de la participation de la commune dans l’EPCI.</w:t>
      </w:r>
    </w:p>
    <w:p>
      <w:pPr/>
      <w:r>
        <w:rPr>
          <w:b w:val="1"/>
          <w:bCs w:val="1"/>
        </w:rPr>
        <w:t xml:space="preserve">2. </w:t>
      </w:r>
      <w:r>
        <w:rPr/>
        <w:t xml:space="preserve">L’excédent de trésorerie de l’EPCI constitue un bien au sens du 2° de </w:t>
      </w:r>
      <w:hyperlink r:id="rId8" w:history="1">
        <w:r>
          <w:rPr/>
          <w:t xml:space="preserve">l’article L 5211-25-1</w:t>
        </w:r>
      </w:hyperlink>
      <w:r>
        <w:rPr/>
        <w:t xml:space="preserve"> du CGCT devant être totalement réparti, dans les conditions et sous les réserves précisées ci-dessus (CE, 18 décembre 2024, </w:t>
      </w:r>
      <w:r>
        <w:rPr>
          <w:i w:val="1"/>
          <w:iCs w:val="1"/>
        </w:rPr>
        <w:t xml:space="preserve">communauté d’agglomération Cœur d’Essonne Agglomération</w:t>
      </w:r>
      <w:r>
        <w:rPr/>
        <w:t xml:space="preserve">, n° 470347).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1473757" TargetMode="External"/><Relationship Id="rId8" Type="http://schemas.openxmlformats.org/officeDocument/2006/relationships/hyperlink" Target="https://www.legifrance.gouv.fr/codes/article_lc/LEGIARTI0000232442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2026-03-09T23:16:09+01:00</dcterms:created>
  <dcterms:modified xsi:type="dcterms:W3CDTF">2026-03-09T23:16:09+01:00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