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Mesure d'ordre intérieur. Protection de l’agent. Harcèlement moral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Un chef de service ne peut pas être considéré comme victime de harcèlement moral par son employeur lorsque ce dernier agit dans le but de le protéger. </w:t>
      </w:r>
    </w:p>
    <w:p>
      <w:pPr/>
      <w:r>
        <w:rPr/>
        <w:t xml:space="preserve">M. B. n'était pas fondé à rechercher la responsabilité de la région pour harcèlement moral. Les mesures prises par l'administration, telles que la modification temporaire de ses attributions et son déménagement, visaient uniquement à le protéger du conflit avec ses subordonnés (CE, 20 décembre 2024, </w:t>
      </w:r>
      <w:r>
        <w:rPr>
          <w:i w:val="1"/>
          <w:iCs w:val="1"/>
        </w:rPr>
        <w:t xml:space="preserve">M. B.</w:t>
      </w:r>
      <w:r>
        <w:rPr/>
        <w:t xml:space="preserve">, n° 469335).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2026-04-26T13:54:09+02:00</dcterms:created>
  <dcterms:modified xsi:type="dcterms:W3CDTF">2026-04-26T13:54:09+02:00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