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Contentieux d'urbanisme. Intérêt à agir. Héritier de l’usufruitier (non)</w:t>
      </w:r>
    </w:p>
    <w:p>
      <w:pPr>
        <w:pStyle w:val="Heading2"/>
      </w:pPr>
      <w:r>
        <w:rPr/>
        <w:t xml:space="preserve">Revue - Urbanisme</w:t>
      </w:r>
    </w:p>
    <w:p>
      <w:pPr>
        <w:pStyle w:val="Heading3"/>
      </w:pPr>
      <w:r>
        <w:rPr/>
        <w:t xml:space="preserve">Source - Jurisprudence</w:t>
      </w:r>
    </w:p>
    <w:p/>
    <w:p>
      <w:pPr/>
      <w:r>
        <w:rPr/>
        <w:t xml:space="preserve">La seule qualité d'héritier de l’usufruitière d'un bien immobilier ne suffit pas à donner intérêt pour agir contre le permis de construire d’un voisin (CE, 20 décembre 2024, </w:t>
      </w:r>
      <w:r>
        <w:rPr>
          <w:i w:val="1"/>
          <w:iCs w:val="1"/>
        </w:rPr>
        <w:t xml:space="preserve">société Le Gardeno</w:t>
      </w:r>
      <w:r>
        <w:rPr/>
        <w:t xml:space="preserve">, n° 489830).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2026-08-17T02:20:40+02:00</dcterms:created>
  <dcterms:modified xsi:type="dcterms:W3CDTF">2026-08-17T02:20:40+02:00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