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Concession (délégation) de service public Offre irrégulière. Régularisation en cours de négociation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L’autorité concédante peut librement négocier avec les candidats l'ensemble des éléments composant leur offre, dès lors que cette négociation ne conduit pas cette autorité à remettre en cause l'objet de la concession, les critères d'attribution ou les conditions et caractéristiques minimales indiquées dans les documents de la consultation.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Lorsqu’elle recourt à la négociation, l’autorité concédante peut y admette un soumissionnaire ayant remis une offre initiale irrégulière.</w:t>
      </w:r>
    </w:p>
    <w:p>
      <w:pPr/>
      <w:r>
        <w:rPr>
          <w:b w:val="1"/>
          <w:bCs w:val="1"/>
        </w:rPr>
        <w:t xml:space="preserve">3. </w:t>
      </w:r>
      <w:r>
        <w:rPr/>
        <w:t xml:space="preserve">Mais un candidat dont la régularisation de l’offre se traduirait par une offre entièrement nouvelle ne peut être retenu en vertu du respect du principe d’égalité de traitement des candidats.</w:t>
      </w:r>
    </w:p>
    <w:p>
      <w:pPr/>
      <w:r>
        <w:rPr/>
        <w:t xml:space="preserve">En tout état de cause, l’autorité concédante est tenue de rejeter les offres qui sont demeurées irrégulières à l’issue de la négociation (CE, 30 décembre 2024, </w:t>
      </w:r>
      <w:r>
        <w:rPr>
          <w:i w:val="1"/>
          <w:iCs w:val="1"/>
        </w:rPr>
        <w:t xml:space="preserve">société Ciné Espace Evasion</w:t>
      </w:r>
      <w:r>
        <w:rPr/>
        <w:t xml:space="preserve">, n° 491266).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2026-03-09T23:18:39+01:00</dcterms:created>
  <dcterms:modified xsi:type="dcterms:W3CDTF">2026-03-09T23:18:39+01:00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