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Mode de publicité des actes des collectivités. Modification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règlementaires et des actes ni réglementaires ni individuels pris par les autorités locales (</w:t>
      </w:r>
      <w:hyperlink r:id="rId7" w:history="1">
        <w:r>
          <w:rPr/>
          <w:t xml:space="preserve">art. L 2131-1</w:t>
        </w:r>
      </w:hyperlink>
      <w:r>
        <w:rPr/>
        <w:t xml:space="preserve"> du CGCT).</w:t>
      </w:r>
    </w:p>
    <w:p>
      <w:pPr/>
      <w:r>
        <w:rPr/>
        <w:t xml:space="preserve">Par dérogation, le IV de l'article L 2131-1 du CGCT laisse aux communes de moins de 3 500 habitants, aux syndicats de communes et aux syndicats mixtes fermés, le choix entre l'affichage, la publication papier ou la publication électronique de ces actes. Pour ce faire, les communes doivent délibérer afin de choisir un autre mode de publicité que celui sous forme électronique.</w:t>
      </w:r>
    </w:p>
    <w:p>
      <w:pPr/>
      <w:r>
        <w:rPr/>
        <w:t xml:space="preserve">L’assemblée délibérante peut modifier ce choix à tout moment (</w:t>
      </w:r>
      <w:r>
        <w:rPr>
          <w:i w:val="1"/>
          <w:iCs w:val="1"/>
        </w:rPr>
        <w:t xml:space="preserve">JO </w:t>
      </w:r>
      <w:r>
        <w:rPr/>
        <w:t xml:space="preserve">Sénat, 28.11.2024, question n° 01795, p. 4573).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2026-03-10T00:37:43+01:00</dcterms:created>
  <dcterms:modified xsi:type="dcterms:W3CDTF">2026-03-10T00:37:43+01:00</dcterms:modified>
</cp:coreProperties>
</file>

<file path=docProps/custom.xml><?xml version="1.0" encoding="utf-8"?>
<Properties xmlns="http://schemas.openxmlformats.org/officeDocument/2006/custom-properties" xmlns:vt="http://schemas.openxmlformats.org/officeDocument/2006/docPropsVTypes"/>
</file>