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Biens exonérés de taxe foncière sur les propriétés bâties. TEOM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TEOM peut s’appliquer à certains biens exonérés de taxe foncière sur les propriétés bâties.</w:t>
      </w:r>
    </w:p>
    <w:p>
      <w:pPr/>
      <w:r>
        <w:rPr/>
        <w:t xml:space="preserve">Les propriétés soumises à la taxe foncière sur les propriétés bâties (TFPB), au sens et pour l'application du I de </w:t>
      </w:r>
      <w:hyperlink r:id="rId7" w:history="1">
        <w:r>
          <w:rPr/>
          <w:t xml:space="preserve">l'article 1521</w:t>
        </w:r>
      </w:hyperlink>
      <w:r>
        <w:rPr/>
        <w:t xml:space="preserve"> du code général des impôts (CGI), s'entendent de celles qui doivent être assujetties à cette taxe par application de la loi, sans qu'il y ait lieu de rechercher si elles ont effectivement été imposées.</w:t>
      </w:r>
    </w:p>
    <w:p>
      <w:pPr/>
      <w:r>
        <w:rPr/>
        <w:t xml:space="preserve">La circonstance que des propriétés n'ont pas été effectivement imposées à la TFPB par application d'une interprétation administrative de la loi fiscale invoquée sur le fondement de </w:t>
      </w:r>
      <w:hyperlink r:id="rId8" w:history="1">
        <w:r>
          <w:rPr/>
          <w:t xml:space="preserve">l'article L 80 A</w:t>
        </w:r>
      </w:hyperlink>
      <w:r>
        <w:rPr/>
        <w:t xml:space="preserve"> du livre des procédures fiscales (LPF) n'est ainsi pas de nature à faire obstacle à leur assujettissement à la taxe d'enlèvement des ordures ménagères (TEOM).</w:t>
      </w:r>
    </w:p>
    <w:p>
      <w:pPr/>
      <w:r>
        <w:rPr/>
        <w:t xml:space="preserve">Si le II de l'article 1521 du CGI dispose que sont exonérés de TEOM « les locaux sans caractère industriel ou commercial loués par l'Etat, les départements, les communes et les établissements publics, scientifiques, d'enseignement et d'assistance et affectés à un service public », l'exonération prévue par ces dispositions ne s'applique qu'aux locaux pris à bail par les personnes publiques qu'elles mentionnent et non à ceux que ces personnes donnent en location (CE, 13 novembre 2024, n° 472178).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816695" TargetMode="External"/><Relationship Id="rId8" Type="http://schemas.openxmlformats.org/officeDocument/2006/relationships/hyperlink" Target="https://www.legifrance.gouv.fr/codes/article_lc/LEGIARTI000037312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2026-01-22T13:37:38+01:00</dcterms:created>
  <dcterms:modified xsi:type="dcterms:W3CDTF">2026-01-22T13:37:38+01:00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