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Agences de l'eau. Nouvelles redevances en 2025. Délibération (oui)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Courrier des lecteurs</w:t>
      </w:r>
    </w:p>
    <w:p/>
    <w:p>
      <w:pPr/>
      <w:r>
        <w:rPr>
          <w:i w:val="1"/>
          <w:iCs w:val="1"/>
        </w:rPr>
        <w:t xml:space="preserve">La commune (ou l'EPCI compétent) doit-elle délibérer concernant les nouvelles redevances pour l'eau et l'assainissement ?</w:t>
      </w:r>
      <w:br/>
      <w:br/>
      <w:br/>
      <w:r>
        <w:rPr>
          <w:b w:val="1"/>
          <w:bCs w:val="1"/>
        </w:rPr>
        <w:t xml:space="preserve">1. </w:t>
      </w:r>
      <w:r>
        <w:rPr/>
        <w:t xml:space="preserve">A compter du 1</w:t>
      </w:r>
      <w:r>
        <w:rPr>
          <w:vertAlign w:val="superscript"/>
        </w:rPr>
        <w:t xml:space="preserve">er</w:t>
      </w:r>
      <w:r>
        <w:rPr/>
        <w:t xml:space="preserve"> janvier 2025, trois nouvelles redevances remplacent les redevances de pollution domestique et de modernisation des réseaux de collecte : </w:t>
      </w:r>
    </w:p>
    <w:p>
      <w:pPr/>
      <w:r>
        <w:rPr/>
        <w:t xml:space="preserve">- une redevance sur la consommation d’eau potable ;</w:t>
      </w:r>
      <w:br/>
      <w:r>
        <w:rPr/>
        <w:t xml:space="preserve"> - deux redevances pour performance (performance des réseaux d’eau potable et performance des systèmes d’assainissement collectif).</w:t>
      </w:r>
    </w:p>
    <w:p>
      <w:pPr/>
      <w:r>
        <w:rPr/>
        <w:t xml:space="preserve">Les factures d'eau émises devront donc comporter les montants des nouvelles redevances.</w:t>
      </w:r>
    </w:p>
    <w:p>
      <w:pPr/>
      <w:r>
        <w:rPr/>
        <w:t xml:space="preserve">Les agences de l'eau ont publié </w:t>
      </w:r>
      <w:hyperlink r:id="rId7" w:history="1">
        <w:r>
          <w:rPr/>
          <w:t xml:space="preserve">une foire aux questions (FAQ)</w:t>
        </w:r>
      </w:hyperlink>
      <w:r>
        <w:rPr/>
        <w:t xml:space="preserve"> sur le sujet.</w:t>
      </w:r>
    </w:p>
    <w:p>
      <w:pPr/>
      <w:r>
        <w:rPr/>
        <w:t xml:space="preserve">Dans la FAQ, il est indiqué que c’est la collectivité qui a la responsabilité d’indiquer à l'opérateur de facturation quelle part du prix de l’eau est à faire figurer sous la forme d’un supplément de prix pour la redevance performance.</w:t>
      </w:r>
    </w:p>
    <w:p>
      <w:pPr/>
      <w:r>
        <w:rPr>
          <w:b w:val="1"/>
          <w:bCs w:val="1"/>
        </w:rPr>
        <w:t xml:space="preserve">2. </w:t>
      </w:r>
      <w:r>
        <w:rPr/>
        <w:t xml:space="preserve">Ainsi, avant le 31 décembre 2024, des délibérations sont nécessaires par la commune ou l'EPCI compétent. La FNCCR a réalisé un travail précis et complet en la matière et propose des modèles de délibération (</w:t>
      </w:r>
      <w:hyperlink r:id="rId8" w:history="1">
        <w:r>
          <w:rPr/>
          <w:t xml:space="preserve">en savoir plus</w:t>
        </w:r>
      </w:hyperlink>
      <w:r>
        <w:rPr/>
        <w:t xml:space="preserve">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sagencesdeleau.fr/actualites/tout-comprendre-de-la-reforme-des-redevances#:~:text=Les%20redevances%20de%20consommation%20d,'assainissement%20(actuellement%2010%25)." TargetMode="External"/><Relationship Id="rId8" Type="http://schemas.openxmlformats.org/officeDocument/2006/relationships/hyperlink" Target="https://www.fnccr.asso.fr/article/reforme-des-redevances-des-agences-de-le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2026-06-13T17:02:21+02:00</dcterms:created>
  <dcterms:modified xsi:type="dcterms:W3CDTF">2026-06-13T17:02:21+02:00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