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2"/>
      </w:pPr>
      <w:r>
        <w:rPr/>
        <w:t xml:space="preserve">Revue - Vie Communale</w:t>
      </w:r>
    </w:p>
    <w:p>
      <w:pPr>
        <w:pStyle w:val="Heading3"/>
      </w:pPr>
      <w:r>
        <w:rPr/>
        <w:t xml:space="preserve">Source - Circulaire</w:t>
      </w:r>
    </w:p>
    <w:p/>
    <w:p>
      <w:pPr/>
      <w:r>
        <w:rPr/>
        <w:t xml:space="preserve">La circulaire n° PTDB2427351J du 18 octobre 2024 a pour objet de préciser les modalités de mise en œuvre de la réforme du cadre statutaire applicable aux secrétaires généraux de mairie et de rappeler le respect de certaines règles statutaires.</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46E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7900&amp;nid=132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2026-03-10T00:37:17+01:00</dcterms:created>
  <dcterms:modified xsi:type="dcterms:W3CDTF">2026-03-10T00:37:17+01:00</dcterms:modified>
</cp:coreProperties>
</file>

<file path=docProps/custom.xml><?xml version="1.0" encoding="utf-8"?>
<Properties xmlns="http://schemas.openxmlformats.org/officeDocument/2006/custom-properties" xmlns:vt="http://schemas.openxmlformats.org/officeDocument/2006/docPropsVTypes"/>
</file>