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non prévus au marché. Règlement sans ordre de service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L'entreprise titulaire d'un marché a droit au paiement des travaux non prévus au marché initial qui lui ont été commandés par ordre de service régulier.</w:t>
      </w:r>
    </w:p>
    <w:p>
      <w:pPr/>
      <w:r>
        <w:rPr/>
        <w:t xml:space="preserve">En outre, même en l'absence d'un ordre de service, et nonobstant le caractère forfaitaire du prix du marché, le cocontractant de l'administration est fondé à demander le règlement des travaux indispensables à la réalisation de l'ouvrage dans les règles de l'art (CAA Versailles, 30 mai 2024, </w:t>
      </w:r>
      <w:r>
        <w:rPr>
          <w:i w:val="1"/>
          <w:iCs w:val="1"/>
        </w:rPr>
        <w:t xml:space="preserve">société Eiffage Energie Ile-de-France et société EDEIS</w:t>
      </w:r>
      <w:r>
        <w:rPr/>
        <w:t xml:space="preserve">, n° 21VE01986).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2026-06-13T17:00:51+02:00</dcterms:created>
  <dcterms:modified xsi:type="dcterms:W3CDTF">2026-06-13T17:00:51+02:00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