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de la publicité foncière. Modification à compter de 2029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L'ordonnance n° 2024-562 du 19 juin 2024, fondée sur l’article 51 de la loi n° 2023-1059, vise à moderniser et clarifier le droit de la publicité foncière en le codifiant dans le code civil.</w:t>
      </w:r>
    </w:p>
    <w:p>
      <w:pPr/>
      <w:r>
        <w:rPr/>
        <w:t xml:space="preserve">Cette réforme simplifie les processus de publication et d’inscription des renseignements hypothécaires.</w:t>
      </w:r>
    </w:p>
    <w:p>
      <w:pPr/>
      <w:r>
        <w:rPr/>
        <w:t xml:space="preserve">Les nouvelles dispositions entreront en vigueur le 31 décembre 2028 après la publication des décrets d’application et la mise à jour des systèmes.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2026-06-13T16:59:59+02:00</dcterms:created>
  <dcterms:modified xsi:type="dcterms:W3CDTF">2026-06-13T16:59:59+02:00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