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Fonds de concours. Condition d’éligibilité. Lien avec l’objet du fonds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Afin de financer la réalisation ou le fonctionnement d'un équipement, des fonds de concours peuvent être versés entre la communauté de communes et les communes membres après accords concordants exprimés à la majorité simple du conseil communautaire et des conseils municipaux concernés (</w:t>
      </w:r>
      <w:hyperlink r:id="rId7" w:history="1">
        <w:r>
          <w:rPr/>
          <w:t xml:space="preserve">art. L 5214-16</w:t>
        </w:r>
      </w:hyperlink>
      <w:r>
        <w:rPr/>
        <w:t xml:space="preserve"> du CGCT).</w:t>
      </w:r>
    </w:p>
    <w:p>
      <w:pPr/>
      <w:r>
        <w:rPr>
          <w:b w:val="1"/>
          <w:bCs w:val="1"/>
        </w:rPr>
        <w:t xml:space="preserve">2.</w:t>
      </w:r>
      <w:r>
        <w:rPr/>
        <w:t xml:space="preserve"> En l’espèce, la délibération qui instaure les fonds de concours prévoit des critères d'éligibilité particuliers pour pouvoir en bénéficier. Parmi ces critères, celui relatif au « transfert des résultats d'eau et d'assainissement suite à la prise de compétence de la communauté de communes pour assurer l'exploitation de ces services publics » ne se rattache pas à l'objet du fonds de concours. Il s'ensuit que cette condition est illégale (TA Amiens, 4 octobre 2023, </w:t>
      </w:r>
      <w:r>
        <w:rPr>
          <w:i w:val="1"/>
          <w:iCs w:val="1"/>
        </w:rPr>
        <w:t xml:space="preserve">commune de Miraumont</w:t>
      </w:r>
      <w:r>
        <w:rPr/>
        <w:t xml:space="preserve">, n° 2102861).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3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2026-04-24T23:40:48+02:00</dcterms:created>
  <dcterms:modified xsi:type="dcterms:W3CDTF">2026-04-24T23:40:48+02:00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