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des articles R 2196-1, R 2196-4 et D 2396-2-1 du code de la commande publique. Il modifie </w:t>
      </w:r>
      <w:hyperlink r:id="rId7" w:history="1">
        <w:r>
          <w:rPr/>
          <w:t xml:space="preserve">l'arrêté du 22 décembre 2022</w:t>
        </w:r>
      </w:hyperlink>
      <w:r>
        <w:rPr/>
        <w:t xml:space="preserve"> afin de préciser que les données essentielles relatives aux actes de sous-traitance et aux modifications qui se rapportent aux marchés publics notifiés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6850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2026-03-10T00:41:22+01:00</dcterms:created>
  <dcterms:modified xsi:type="dcterms:W3CDTF">2026-03-10T00:41:22+01:00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