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de la publicité. EPCI non compétent en matière de PLU ou de RLP. Pas de transfert automatique (communes de - 3 500 hab.)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Concernant le transfert des pouvoirs de police de la publicité, </w:t>
      </w:r>
      <w:hyperlink r:id="rId7" w:history="1">
        <w:r>
          <w:rPr/>
          <w:t xml:space="preserve">l'article 250</w:t>
        </w:r>
      </w:hyperlink>
      <w:r>
        <w:rPr/>
        <w:t xml:space="preserve"> de la loi n° 2023-1322 de la loi de finances pour 2024 du 29 décembre 2023 supprime la phrase de l'article L 5211-9-2 du CGCT selon laquelle « Dans les communes de moins de 3 500 habitants, ces prérogatives sont transférées au président de l'EPCI à fiscalité propre, y compris lorsque cet établissement n'est pas compétent en matière de PLU ou de règlement local de publicité ».</w:t>
      </w:r>
    </w:p>
    <w:p>
      <w:pPr/>
      <w:r>
        <w:rPr/>
        <w:t xml:space="preserve">En d’autres termes, la loi a mis fin au transfert automatique au président d’EPCI concernant les communes de moins de 3 500 habitants lorsque l’intercommunalité n’est pas compétente en matière de PLU ou de RLP.</w:t>
      </w:r>
    </w:p>
    <w:p>
      <w:pPr/>
      <w:r>
        <w:rPr/>
        <w:t xml:space="preserve">Ainsi, tous les maires sont titulaires de la police de la publicité depuis le 1</w:t>
      </w:r>
      <w:r>
        <w:rPr>
          <w:vertAlign w:val="superscript"/>
        </w:rPr>
        <w:t xml:space="preserve">er </w:t>
      </w:r>
      <w:r>
        <w:rPr/>
        <w:t xml:space="preserve">janvier 2024 et le transfert se fait seulement au profit de l’EPCI compétent en matière de PLU ou de RLP selon les règles habituelles prévues par </w:t>
      </w:r>
      <w:hyperlink r:id="rId8" w:history="1">
        <w:r>
          <w:rPr/>
          <w:t xml:space="preserve">l'article L 5211-9-2</w:t>
        </w:r>
      </w:hyperlink>
      <w:r>
        <w:rPr/>
        <w:t xml:space="preserve"> du CGCT (avec notamment possibilité de refus du maire).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k.importtypo3.fr/c?p=wAbNBhzDxBDQ1GTQ3fV70JpO0LnQuG_QtV8a0LbQhPHEEAk70Kwe-9DcTA3QkhFwNvx5BxXZkmh0dHBzOi8vd3d3LmxlZ2lmcmFuY2UuZ291di5mci9qb3JmL2FydGljbGVfam8vSk9SRkFSVEkwMDAwNDg3Mjc2MjI_dXRtX3NvdXJjZT1TYXJiYWNhbmUmdXRtX21lZGl1bT1lbWFpbCZ1dG1fY2FtcGFpZ249VkNJIDExNDIgKDIpIC0gSmFudmllciAyMDI0uDVhYTEzM2NlYjg1YjUzNTBlZjFjZWJhMrg2MTI2YWJkNzVlMDYwZjQ0ZTQ2YTZkNWPAtl9xU2w1M0dHVEk2c21yZUVYLWVKOUG2bGluay5sYXZpZWNvbW11bmFsZS5mcsQU8NDNP9DHckwPU_Vp7Sw_0IQGQdCZEVJQ" TargetMode="External"/><Relationship Id="rId8" Type="http://schemas.openxmlformats.org/officeDocument/2006/relationships/hyperlink" Target="http://link.importtypo3.fr/c?p=wAbNBhzDxBDQ1GTQ3fV70JpO0LnQuG_QtV8a0LbQhPHEEPxP0NXhPHhBH9ClOBrQ3dCGTNCbaNmTaHR0cHM6Ly93d3cubGVnaWZyYW5jZS5nb3V2LmZyL2NvZGVzL2FydGljbGVfbGMvTEVHSUFSVEkwMDAwNDg4NTAxNjg_dXRtX3NvdXJjZT1TYXJiYWNhbmUmdXRtX21lZGl1bT1lbWFpbCZ1dG1fY2FtcGFpZ249VkNJIDExNDIgKDIpIC0gSmFudmllciAyMDI0uDVhYTEzM2NlYjg1YjUzNTBlZjFjZWJhMrg2MTI2YWJkNzVlMDYwZjQ0ZTQ2YTZkNWPAtl9xU2w1M0dHVEk2c21yZUVYLWVKOUG2bGluay5sYXZpZWNvbW11bmFsZS5mcsQU8NDNP9DHckwPU_Vp7Sw_0IQGQdCZEV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2026-03-10T12:00:08+01:00</dcterms:created>
  <dcterms:modified xsi:type="dcterms:W3CDTF">2026-03-10T12:00:08+01:00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