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Loi relative à l'industrie verte. Commande publique. Critères environnementaux. Motifs d'exclusion</w:t>
      </w:r>
    </w:p>
    <w:p>
      <w:pPr>
        <w:pStyle w:val="Heading2"/>
      </w:pPr>
      <w:r>
        <w:rPr/>
        <w:t xml:space="preserve">Revue - Marchés Publics</w:t>
      </w:r>
    </w:p>
    <w:p>
      <w:pPr>
        <w:pStyle w:val="Heading3"/>
      </w:pPr>
      <w:r>
        <w:rPr/>
        <w:t xml:space="preserve">Source - JO</w:t>
      </w:r>
    </w:p>
    <w:p/>
    <w:p>
      <w:pPr/>
      <w:r>
        <w:rPr/>
        <w:t xml:space="preserve">La loi n° 2023-973 du 23 octobre 2023 est relative à l'industrie verte. Elle vise à faciliter l’implantation des sites industriels, à financer les projets industriels verts, à conditionner les aides publiques à la transition écologique mais aussi à permettre une commande publique plus verte.</w:t>
      </w:r>
    </w:p>
    <w:p>
      <w:pPr/>
      <w:r>
        <w:rPr/>
        <w:t xml:space="preserve">En effet, cette loi accélère la prise en compte de critères environnementaux dans la commande publique. Deux nouveaux motifs d'exclusion des marchés publics sont créés : le premier pour les entreprises ne satisfaisant pas à l'obligation d'établir un bilan de leurs émissions de gaz à effet de serre (BEGES), le second pour les entreprises ne respectant pas leurs engagements de publication d'information en matière de durabilité. Les collectivités locales pourront choisir ou non d'appliquer ces deux motifs d'exclusion.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2026-04-26T12:30:26+02:00</dcterms:created>
  <dcterms:modified xsi:type="dcterms:W3CDTF">2026-04-26T12:30:26+02:00</dcterms:modified>
</cp:coreProperties>
</file>

<file path=docProps/custom.xml><?xml version="1.0" encoding="utf-8"?>
<Properties xmlns="http://schemas.openxmlformats.org/officeDocument/2006/custom-properties" xmlns:vt="http://schemas.openxmlformats.org/officeDocument/2006/docPropsVTypes"/>
</file>