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Constructions de logements locatifs sociaux. Exonération de la TFPB. Prolongation de 5 ans. Actualisation des critères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L'article 1384 A</w:t>
        </w:r>
      </w:hyperlink>
      <w:r>
        <w:rPr/>
        <w:t xml:space="preserve"> du CGI prévoit que la construction de logements à caractère social bénéficie d'une exonération de 15 ans de taxe foncière sur les propriétés bâties (TFPB), portée à 20 ans en cas de respect de critères de performance énergétique et environnementale.</w:t>
      </w:r>
    </w:p>
    <w:p>
      <w:pPr/>
      <w:r>
        <w:rPr/>
        <w:t xml:space="preserve">Le décret n° 2023-560 du 3 juillet 2023 actualise les critères de performance énergétique et environnementale exigés des constructions de logements locatifs sociaux pour bénéficier de la prolongation de 5 ans de cette exonération.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900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2026-04-25T03:37:24+02:00</dcterms:created>
  <dcterms:modified xsi:type="dcterms:W3CDTF">2026-04-25T03:37:24+02:00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