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ASVP. Refus de titularisation. Insuffisance professionnelle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refuser de titulariser le requérant à l'issue de son stage, le maire s'est fondé sur des manques de régularité dans sa mission principale d'ASVP consistant à faire respecter les règles de stationnement sur l'ensemble du territoire communal ainsi que sur ses lacunes dans l'application des règles de syntaxe, de grammaire et d'orthographe à l'occasion de la saisie et de la rédaction d'écrits professionnels.</w:t>
      </w:r>
    </w:p>
    <w:p>
      <w:pPr/>
      <w:r>
        <w:rPr/>
        <w:t xml:space="preserve">Eu égard aux missions susceptibles d'être confiées à un adjoint technique territorial de 2</w:t>
      </w:r>
      <w:r>
        <w:rPr>
          <w:vertAlign w:val="superscript"/>
        </w:rPr>
        <w:t xml:space="preserve">e</w:t>
      </w:r>
      <w:r>
        <w:rPr/>
        <w:t xml:space="preserve"> classe faisant fonction d'ASVP, ces griefs peuvent traduire une insuffisance professionnelle de nature à justifier un refus de titularisation à l'issue d'un stage (CAA Marseille, 4 octobre 2022, </w:t>
      </w:r>
      <w:r>
        <w:rPr>
          <w:i w:val="1"/>
          <w:iCs w:val="1"/>
        </w:rPr>
        <w:t xml:space="preserve">commune de La Ciotat</w:t>
      </w:r>
      <w:r>
        <w:rPr/>
        <w:t xml:space="preserve">, n° 20MA00741).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2026-03-10T15:21:15+01:00</dcterms:created>
  <dcterms:modified xsi:type="dcterms:W3CDTF">2026-03-10T15:21:15+01:00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