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Contrat et délégations de service public (communes - de 3 500 hab.). Conclusion par les élus municipaux exerçant une activité professionnelle</w:t>
      </w:r>
    </w:p>
    <w:p>
      <w:pPr>
        <w:pStyle w:val="Heading2"/>
      </w:pPr>
      <w:r>
        <w:rPr/>
        <w:t xml:space="preserve">Revue - Marchés Publics</w:t>
      </w:r>
    </w:p>
    <w:p>
      <w:pPr>
        <w:pStyle w:val="Heading3"/>
      </w:pPr>
      <w:r>
        <w:rPr/>
        <w:t xml:space="preserve">Source - JO AN - JO Sénat</w:t>
      </w:r>
    </w:p>
    <w:p/>
    <w:p>
      <w:pPr/>
      <w:r>
        <w:rPr/>
        <w:t xml:space="preserve"> Sous réserve de l'appréciation souveraine du juge, rien ne semble s'opposer à ce qu'une délégation de service public soit assimilée à une opération de fourniture de services au sens du deuxième alinéa de </w:t>
      </w:r>
    </w:p>
    <w:p>
      <w:pPr/>
      <w:hyperlink r:id="rId7" w:history="1">
        <w:r>
          <w:rPr/>
          <w:t xml:space="preserve">l'article 432-12</w:t>
        </w:r>
      </w:hyperlink>
    </w:p>
    <w:p>
      <w:pPr/>
      <w:r>
        <w:rPr/>
        <w:t xml:space="preserve"> du code pénal (dans la limite d'un montant annuel fixé à 16 000 €), même si le législateur a édicté cette disposition en pensant surtout aux petits marchés de services (</w:t>
      </w:r>
    </w:p>
    <w:p>
      <w:pPr/>
      <w:r>
        <w:rPr>
          <w:i w:val="1"/>
          <w:iCs w:val="1"/>
        </w:rPr>
        <w:t xml:space="preserve">JO </w:t>
      </w:r>
    </w:p>
    <w:p>
      <w:pPr/>
      <w:r>
        <w:rPr/>
        <w:t xml:space="preserve">Sénat, 26.01.2023, question n° 02237, p. 556).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codes/article_lc/LEGIARTI00004456990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2026-07-25T05:54:26+02:00</dcterms:created>
  <dcterms:modified xsi:type="dcterms:W3CDTF">2026-07-25T05:54:26+02:00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