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Exonérations. Locaux d'habitation et d'hébergement financés avec certaines aides de l'Etat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2022-1412 du 7 novembre 2022 fixe les conditions d'exonération de taxe d'aménagement en application du 2° du I de </w:t>
      </w:r>
    </w:p>
    <w:p>
      <w:pPr/>
      <w:hyperlink r:id="rId7" w:history="1">
        <w:r>
          <w:rPr/>
          <w:t xml:space="preserve">l'article 1635 quater D</w:t>
        </w:r>
      </w:hyperlink>
    </w:p>
    <w:p>
      <w:pPr/>
      <w:r>
        <w:rPr/>
        <w:t xml:space="preserve"> du code général des impôts pour les constructions de locaux d'habitation et d'hébergement financés avec certaines aides de l'Etat (prêt locatif aidé d'intégration [PLAI] et prêt aidé pour les logements locatifs très sociaux [LLTS]).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913742/2022-11-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2026-03-10T02:03:34+01:00</dcterms:created>
  <dcterms:modified xsi:type="dcterms:W3CDTF">2026-03-10T02:03:34+01:00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