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Réforme de la collecte. Exigibilité de la taxe. Date d'achèvement des travaux</w:t>
      </w:r>
    </w:p>
    <w:p>
      <w:pPr>
        <w:pStyle w:val="Heading2"/>
      </w:pPr>
      <w:r>
        <w:rPr/>
        <w:t xml:space="preserve">Revue - Urbanisme</w:t>
      </w:r>
    </w:p>
    <w:p>
      <w:pPr>
        <w:pStyle w:val="Heading3"/>
      </w:pPr>
      <w:r>
        <w:rPr/>
        <w:t xml:space="preserve">Source - JO AN - JO Sénat</w:t>
      </w:r>
    </w:p>
    <w:p/>
    <w:p>
      <w:pPr/>
      <w:r>
        <w:rPr/>
        <w:t xml:space="preserve"> L'article 155 de la loi n° 2020-1721 du 29 décembre 2020 de finances  pour 2021 pose le cadre du transfert de la gestion de la taxe  d'aménagement des directions départementales des territoires (DDT) à la  Direction générale des Finances publiques (DGFiP) À cet effet, cet article reporte notamment la date d'exigibilité de  la taxe d'aménagement à la date de réalisation définitive des opérations  au sens du I de l'article 1406 du code général des impôts. La  déclaration de la taxe d'aménagement s'effectuera donc dans les mêmes  conditions que les déclarations des changements fonciers prévues par  l'article 1406 du CGI, à savoir dans les 90 jours à compter de la  réalisation définitive des travaux : les obligations déclaratives  fiscales en matière foncière et d'urbanisme seront ainsi unifiées. La date d'achèvement des travaux retenue pour l'exigibilité de la  taxe ne reposera donc pas sur la déclaration d'achèvement et de  conformité des travaux prévue par le droit de l'urbanisme, mais sur les  obligations fiscales existantes. Ainsi, cette nouvelle règle  d'exigibilité n'induira aucune charge supplémentaire pour les  collectivités, ni ne fera peser de risque de perte de l'assiette  fiscale. En effet, grâce à cette réforme, la vérification de  l'achèvement des travaux sera effectuée par l'administration fiscale en  tirant profit de l'expérience acquise par la DGFiP en matière de  surveillance et de relance des contribuables s'agissant des taxes  foncières. À cet égard, l'inexactitude ou l'omission des déclarations de  changements fonciers sont actuellement sanctionnées par l'application  d'amendes fiscales prévue à l'article 1729 C du code général des impôts  et la perte ou réduction d'exonération temporaire (</w:t>
      </w:r>
    </w:p>
    <w:p>
      <w:pPr/>
      <w:r>
        <w:rPr>
          <w:i w:val="1"/>
          <w:iCs w:val="1"/>
        </w:rPr>
        <w:t xml:space="preserve">JO </w:t>
      </w:r>
    </w:p>
    <w:p>
      <w:pPr/>
      <w:r>
        <w:rPr/>
        <w:t xml:space="preserve">Sénat, 15.09.2022, question n° 01197, p. 4461).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2026-04-26T12:15:14+02:00</dcterms:created>
  <dcterms:modified xsi:type="dcterms:W3CDTF">2026-04-26T12:15:14+02:00</dcterms:modified>
</cp:coreProperties>
</file>

<file path=docProps/custom.xml><?xml version="1.0" encoding="utf-8"?>
<Properties xmlns="http://schemas.openxmlformats.org/officeDocument/2006/custom-properties" xmlns:vt="http://schemas.openxmlformats.org/officeDocument/2006/docPropsVTypes"/>
</file>