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Intercommunalités fusionnées. Tarifications du service des ordures ménagères</w:t>
      </w:r>
    </w:p>
    <w:p>
      <w:pPr>
        <w:pStyle w:val="Heading2"/>
      </w:pPr>
      <w:r>
        <w:rPr/>
        <w:t xml:space="preserve">Revue - Intercommunalité</w:t>
      </w:r>
    </w:p>
    <w:p>
      <w:pPr>
        <w:pStyle w:val="Heading3"/>
      </w:pPr>
      <w:r>
        <w:rPr/>
        <w:t xml:space="preserve">Source - JO AN - JO Sénat</w:t>
      </w:r>
    </w:p>
    <w:p/>
    <w:p>
      <w:pPr/>
      <w:r>
        <w:rPr>
          <w:b w:val="1"/>
          <w:bCs w:val="1"/>
        </w:rPr>
        <w:t xml:space="preserve">1. </w:t>
      </w:r>
    </w:p>
    <w:p>
      <w:pPr/>
      <w:r>
        <w:rPr/>
        <w:t xml:space="preserve">En cas de fusion des EPCI, le groupement compétent doit opter  pour un type de financement et il ne lui est donc pas permis d'instituer  la taxe d'enlèvement des ordures ménagères (TEOM) sur une partie de son  territoire et la redevance d'enlèvement des ordures ménagères (REOM)  sur l'autre partie. </w:t>
      </w:r>
    </w:p>
    <w:p>
      <w:pPr/>
      <w:r>
        <w:rPr>
          <w:b w:val="1"/>
          <w:bCs w:val="1"/>
        </w:rPr>
        <w:t xml:space="preserve">2.</w:t>
      </w:r>
    </w:p>
    <w:p>
      <w:pPr/>
      <w:r>
        <w:rPr/>
        <w:t xml:space="preserve"> Ainsi, en application des dispositions combinées du III de </w:t>
      </w:r>
    </w:p>
    <w:p>
      <w:pPr/>
      <w:hyperlink r:id="rId7" w:history="1">
        <w:r>
          <w:rPr/>
          <w:t xml:space="preserve">l'article 1639 A bis</w:t>
        </w:r>
      </w:hyperlink>
    </w:p>
    <w:p>
      <w:pPr/>
      <w:r>
        <w:rPr/>
        <w:t xml:space="preserve"> du code général des impôts et des </w:t>
      </w:r>
    </w:p>
    <w:p>
      <w:pPr/>
      <w:hyperlink r:id="rId8" w:history="1">
        <w:r>
          <w:rPr/>
          <w:t xml:space="preserve">articles L 2333-76</w:t>
        </w:r>
      </w:hyperlink>
    </w:p>
    <w:p>
      <w:pPr/>
      <w:r>
        <w:rPr/>
        <w:t xml:space="preserve"> et </w:t>
      </w:r>
    </w:p>
    <w:p>
      <w:pPr/>
      <w:hyperlink r:id="rId9" w:history="1">
        <w:r>
          <w:rPr/>
          <w:t xml:space="preserve">L 2333-79</w:t>
        </w:r>
      </w:hyperlink>
    </w:p>
    <w:p>
      <w:pPr/>
      <w:r>
        <w:rPr/>
        <w:t xml:space="preserve"> du CGCT, un EPCI issu de fusion en application de </w:t>
      </w:r>
    </w:p>
    <w:p>
      <w:pPr/>
      <w:hyperlink r:id="rId10" w:history="1">
        <w:r>
          <w:rPr/>
          <w:t xml:space="preserve">l'article L 5211-41-3</w:t>
        </w:r>
      </w:hyperlink>
    </w:p>
    <w:p>
      <w:pPr/>
      <w:r>
        <w:rPr/>
        <w:t xml:space="preserve">  du CGCT peut, au titre de l'année qui suit celle de la fusion :  instituer la TEOM par délibération prise avant le 15 janvier de cette  même année ; instituer la REOM, dans les conditions de droit commun, par  délibération prise avant le 1</w:t>
      </w:r>
    </w:p>
    <w:p>
      <w:pPr/>
      <w:r>
        <w:rPr>
          <w:vertAlign w:val="superscript"/>
        </w:rPr>
        <w:t xml:space="preserve">er</w:t>
      </w:r>
    </w:p>
    <w:p>
      <w:pPr/>
      <w:r>
        <w:rPr/>
        <w:t xml:space="preserve"> mars de cette même année si  l'un des EPCI dont il est issu avait institué la TEOM. Dans le cas  contraire, il peut instituer la REOM à tout moment de l'année. Dans tous  les cas, la REOM ne peut être rétroactive et n'est perçue auprès de  l'usager qu'à partir de la date de son institution, les dépenses non  couvertes par la REOM étant alors financées par le budget général. </w:t>
      </w:r>
    </w:p>
    <w:p>
      <w:pPr/>
      <w:r>
        <w:rPr>
          <w:b w:val="1"/>
          <w:bCs w:val="1"/>
        </w:rPr>
        <w:t xml:space="preserve">3.</w:t>
      </w:r>
    </w:p>
    <w:p>
      <w:pPr/>
      <w:r>
        <w:rPr/>
        <w:t xml:space="preserve">  En l'absence de délibération instituant la TEOM prise au plus tard le  15 janvier de l'année qui suit celle de la fusion, les délibérations  relatives à l'instauration de la taxe (et le cas échéant de la part  incitative) et aux exonérations, prises antérieurement par les EPCI ou  les syndicats mixtes sont maintenues pour une durée qui ne peut excéder 7  ans. Le nouvel EPCI vote chaque année le taux et, le cas échéant, le  tarif de la part incitative de la TEOM et en perçoit le produit en lieu  et place des EPCI dissous. À l'issue de cette période transitoire  et en l'absence de délibération pour un régime unique de la TEOM ou de  la REOM, le service public des déchets sera financé par les recettes  ordinaires de son budget général (</w:t>
      </w:r>
    </w:p>
    <w:p>
      <w:pPr/>
      <w:r>
        <w:rPr>
          <w:i w:val="1"/>
          <w:iCs w:val="1"/>
        </w:rPr>
        <w:t xml:space="preserve">JO </w:t>
      </w:r>
    </w:p>
    <w:p>
      <w:pPr/>
      <w:r>
        <w:rPr/>
        <w:t xml:space="preserve">Sénat, 28.04.2022, question n° 27503, p. 2303).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link.importtypo3.fr/c?p=wAbNA7PDxBDQu9CM0LI30LJlTyvQh9DCSdCsHzHQykLEEOBG0NDQpOjQiEni0L7QvNCRZyI60Koj2ZtodHRwczovL3d3dy5sZWdpZnJhbmNlLmdvdXYuZnIvY29kZXMvYXJ0aWNsZV9sYy9MRUdJQVJUSTAwMDA0MjkwODM2MD91dG1fc291cmNlPVNhcmJhY2FuZSZ1dG1fbWVkaXVtPWVtYWlsJnV0bV9jYW1wYWlnbj1MYSBWaWUgSW50ZXJjb21tdW5hbGUgbsKwIDI2MCAtIE1habg1YWExMzNjZWI4NWI1MzUwZWYxY2ViYTK4NjEyNmFiNGE1ZTA2MGY0NGU0NmY5OTkzwLZ0ZFZpYjVpOFRfcTF2aG1reTl3UUZBtmxpbmsubGF2aWVjb21tdW5hbGUuZnLEFPDQzT_Qx3JMD1P1ae0sP9CEBkHQmRFSUA" TargetMode="External"/><Relationship Id="rId8" Type="http://schemas.openxmlformats.org/officeDocument/2006/relationships/hyperlink" Target="http://link.importtypo3.fr/c?p=wAbNA7PDxBDQu9CM0LI30LJlTyvQh9DCSdCsHzHQykLEENCV0IXqWdCLfEo00KrQylF1a9CgDdCV2ZtodHRwczovL3d3dy5sZWdpZnJhbmNlLmdvdXYuZnIvY29kZXMvYXJ0aWNsZV9sYy9MRUdJQVJUSTAwMDA0MjkxNTI2NT91dG1fc291cmNlPVNhcmJhY2FuZSZ1dG1fbWVkaXVtPWVtYWlsJnV0bV9jYW1wYWlnbj1MYSBWaWUgSW50ZXJjb21tdW5hbGUgbsKwIDI2MCAtIE1habg1YWExMzNjZWI4NWI1MzUwZWYxY2ViYTK4NjEyNmFiNGE1ZTA2MGY0NGU0NmY5OTkzwLZ0ZFZpYjVpOFRfcTF2aG1reTl3UUZBtmxpbmsubGF2aWVjb21tdW5hbGUuZnLEFPDQzT_Qx3JMD1P1ae0sP9CEBkHQmRFSUA" TargetMode="External"/><Relationship Id="rId9" Type="http://schemas.openxmlformats.org/officeDocument/2006/relationships/hyperlink" Target="http://link.importtypo3.fr/c?p=wAbNA7PDxBDQu9CM0LI30LJlTyvQh9DCSdCsHzHQykLEEFc80Lzw0Mt6S3_QrNDUONCw0JnQzmd92aZodHRwczovL3d3dy5sZWdpZnJhbmNlLmdvdXYuZnIvY29kZXMvYXJ0aWNsZV9sYy9MRUdJQVJUSTAwMDAwNjM5MDcxNi8yMDIyLTA1LTEwP3V0bV9zb3VyY2U9U2FyYmFjYW5lJnV0bV9tZWRpdW09ZW1haWwmdXRtX2NhbXBhaWduPUxhIFZpZSBJbnRlcmNvbW11bmFsZSBuwrAgMjYwIC0gTWFpuDVhYTEzM2NlYjg1YjUzNTBlZjFjZWJhMrg2MTI2YWI0YTVlMDYwZjQ0ZTQ2Zjk5OTPAtnRkVmliNWk4VF9xMXZobWt5OXdRRkG2bGluay5sYXZpZWNvbW11bmFsZS5mcsQU8NDNP9DHckwPU_Vp7Sw_0IQGQdCZEVJQ" TargetMode="External"/><Relationship Id="rId10" Type="http://schemas.openxmlformats.org/officeDocument/2006/relationships/hyperlink" Target="http://link.importtypo3.fr/c?p=wAbNA7PDxBDQu9CM0LI30LJlTyvQh9DCSdCsHzHQykLEENDVQNCX0MvQn9CvRm3QghXqWTrQ3FPQrdmbaHR0cHM6Ly93d3cubGVnaWZyYW5jZS5nb3V2LmZyL2NvZGVzL2FydGljbGVfbGMvTEVHSUFSVEkwMDAwNDE0MTAzNDA_dXRtX3NvdXJjZT1TYXJiYWNhbmUmdXRtX21lZGl1bT1lbWFpbCZ1dG1fY2FtcGFpZ249TGEgVmllIEludGVyY29tbXVuYWxlIG7CsCAyNjAgLSBNYWm4NWFhMTMzY2ViODViNTM1MGVmMWNlYmEyuDYxMjZhYjRhNWUwNjBmNDRlNDZmOTk5M8C2dGRWaWI1aThUX3Exdmhta3k5d1FGQbZsaW5rLmxhdmllY29tbXVuYWxlLmZyxBTw0M0_0MdyTA9T9WntLD_QhAZB0JkRU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2026-03-10T00:39:46+01:00</dcterms:created>
  <dcterms:modified xsi:type="dcterms:W3CDTF">2026-03-10T00:39:46+01:00</dcterms:modified>
</cp:coreProperties>
</file>

<file path=docProps/custom.xml><?xml version="1.0" encoding="utf-8"?>
<Properties xmlns="http://schemas.openxmlformats.org/officeDocument/2006/custom-properties" xmlns:vt="http://schemas.openxmlformats.org/officeDocument/2006/docPropsVTypes"/>
</file>