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Dépôt illégal de déchets. Sanctions administratives. Propriétaire du véhicule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Pour l'application des sanctions administratives édictées à </w:t>
      </w:r>
    </w:p>
    <w:p>
      <w:pPr/>
      <w:hyperlink r:id="rId7" w:history="1">
        <w:r>
          <w:rPr/>
          <w:t xml:space="preserve">l'article L 541-3</w:t>
        </w:r>
      </w:hyperlink>
    </w:p>
    <w:p>
      <w:pPr/>
      <w:r>
        <w:rPr/>
        <w:t xml:space="preserve"> du code de l'environnement, l'identification du véhicule ayant permis le transport peut permettre de désigner le propriétaire de ce véhicule comme détenteur de ces déchets, à plus forte raison si l'origine des déchets peut lui être imputée ou même si rien ne permet d'identifier un autre tiers (ex. : si son nom figure sur des papiers découverts dans les déchets) et donc de lui enjoindre de remettre le site en état, à charge pour lui de se retourner contre l'auteur des faits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AN, 07.09.2021, question n° 39641, p. 6759).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599299?init=true&amp;page=1&amp;query=l541-3+code+environnement&amp;searchField=ALL&amp;tab_selection=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2026-09-16T11:31:28+02:00</dcterms:created>
  <dcterms:modified xsi:type="dcterms:W3CDTF">2026-09-16T11:31:28+02:00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