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irrégulière. Non-respect du CCTP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candidat évincé est fondé à soutenir que l’acheteur devait écarter l’offre retenue comme irrégulière au motif qu’elle n’était pas conforme aux stipulations du cahier des clauses techniques particulières (CAA Versailles, 2 décembre 2021, </w:t>
      </w:r>
    </w:p>
    <w:p>
      <w:pPr/>
      <w:r>
        <w:rPr>
          <w:i w:val="1"/>
          <w:iCs w:val="1"/>
        </w:rPr>
        <w:t xml:space="preserve">société Texabri,</w:t>
      </w:r>
    </w:p>
    <w:p>
      <w:pPr/>
      <w:r>
        <w:rPr/>
        <w:t xml:space="preserve"> n° 19VE02748).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2026-04-25T02:17:38+02:00</dcterms:created>
  <dcterms:modified xsi:type="dcterms:W3CDTF">2026-04-25T02:17:38+02:00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