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Ouvertures et fermetures des compteurs d'eau. Facturation. Coûts réellement supportés</w:t>
      </w:r>
    </w:p>
    <w:p>
      <w:pPr>
        <w:pStyle w:val="Heading2"/>
      </w:pPr>
      <w:r>
        <w:rPr/>
        <w:t xml:space="preserve">Revue - Intercommunalité</w:t>
      </w:r>
    </w:p>
    <w:p>
      <w:pPr>
        <w:pStyle w:val="Heading3"/>
      </w:pPr>
      <w:r>
        <w:rPr/>
        <w:t xml:space="preserve">Source - JO AN - JO Sénat</w:t>
      </w:r>
    </w:p>
    <w:p/>
    <w:p>
      <w:pPr/>
      <w:r>
        <w:rPr/>
        <w:t xml:space="preserve"> Aux termes de l'article L 2224-12-4 du CGCT, « toute facture d'eau  comprend un montant calculé en fonction du volume réellement consommé  par l'abonné et peut en outre comprendre un montant calculé  indépendamment de ce volume en fonction des charges fixes du service et  des caractéristiques du branchement ». Pour l'application de cette disposition, </w:t>
      </w:r>
    </w:p>
    <w:p>
      <w:pPr/>
      <w:hyperlink r:id="rId7" w:history="1">
        <w:r>
          <w:rPr/>
          <w:t xml:space="preserve">l'article 1er</w:t>
        </w:r>
      </w:hyperlink>
    </w:p>
    <w:p>
      <w:pPr/>
      <w:r>
        <w:rPr/>
        <w:t xml:space="preserve">  de l'arrêté du 6 août 2007 relatif à la définition des modalités de  calcul du plafond de la part de la facture d'eau non proportionnelle au  volume d'eau concerné précise que les charges fixes prises en compte  pour le calcul de cet abonnement incluent notamment les frais de  location ou d'entretien du compteur et la gestion du branchement.</w:t>
      </w:r>
    </w:p>
    <w:p/>
    <w:p>
      <w:pPr/>
      <w:r>
        <w:rPr/>
        <w:t xml:space="preserve"> </w:t>
      </w:r>
    </w:p>
    <w:p/>
    <w:p>
      <w:pPr/>
      <w:r>
        <w:rPr/>
        <w:t xml:space="preserve"> </w:t>
      </w:r>
    </w:p>
    <w:p>
      <w:pPr/>
      <w:hyperlink r:id="rId8" w:history="1">
        <w:r>
          <w:rPr/>
          <w:t xml:space="preserve">Un arrêté du 10 juillet 1996</w:t>
        </w:r>
      </w:hyperlink>
    </w:p>
    <w:p>
      <w:pPr/>
      <w:r>
        <w:rPr/>
        <w:t xml:space="preserve">  relatif aux factures de distribution de l'eau et de collecte et de  traitement des eaux usées réglemente le contenu des factures d'eau  adressées aux usagers. </w:t>
      </w:r>
    </w:p>
    <w:p>
      <w:pPr/>
      <w:hyperlink r:id="rId9" w:history="1">
        <w:r>
          <w:rPr/>
          <w:t xml:space="preserve">Son article 2</w:t>
        </w:r>
      </w:hyperlink>
    </w:p>
    <w:p>
      <w:pPr/>
      <w:r>
        <w:rPr/>
        <w:t xml:space="preserve">  précise que « si les dispositions choisies par la collectivité pour sa  tarification prévoient une distinction des frais de location et/ou  d'entretien du compteur et du branchement, ceux-ci doivent faire l'objet  de plusieurs lignes à part, la facture devant faire apparaître un  montant totalisé de l'ensemble de ces éléments ».</w:t>
      </w:r>
    </w:p>
    <w:p/>
    <w:p>
      <w:pPr/>
      <w:r>
        <w:rPr/>
        <w:t xml:space="preserve"> </w:t>
      </w:r>
    </w:p>
    <w:p/>
    <w:p>
      <w:pPr/>
      <w:r>
        <w:rPr/>
        <w:t xml:space="preserve"> La Commission  des clauses abusives recommande par ailleurs que les frais d'ouverture  et de fermeture des branchements soient dissociés du prix du mètre cube  d'eau et calculés en fonction des coûts réellement supportés (</w:t>
      </w:r>
    </w:p>
    <w:p>
      <w:pPr/>
      <w:hyperlink r:id="rId10" w:history="1">
        <w:r>
          <w:rPr/>
          <w:t xml:space="preserve">recommandation n° 85-01 A 6°</w:t>
        </w:r>
      </w:hyperlink>
    </w:p>
    <w:p>
      <w:pPr/>
      <w:r>
        <w:rPr/>
        <w:t xml:space="preserve">).</w:t>
      </w:r>
    </w:p>
    <w:p/>
    <w:p>
      <w:pPr/>
      <w:r>
        <w:rPr/>
        <w:t xml:space="preserve"> </w:t>
      </w:r>
    </w:p>
    <w:p/>
    <w:p>
      <w:pPr/>
      <w:r>
        <w:rPr/>
        <w:t xml:space="preserve">  Il résulte de l'ensemble de ces dispositions que la gestion du  branchement, dont relèvent l'ouverture et la fermeture du compteur, peut  être facturée à l'abonné dans les conditions définies par le règlement  de service d'eau et dans le respect des arrêtés et recommandations  précités (</w:t>
      </w:r>
    </w:p>
    <w:p>
      <w:pPr/>
      <w:r>
        <w:rPr>
          <w:i w:val="1"/>
          <w:iCs w:val="1"/>
        </w:rPr>
        <w:t xml:space="preserve">JO</w:t>
      </w:r>
    </w:p>
    <w:p>
      <w:pPr/>
      <w:r>
        <w:rPr/>
        <w:t xml:space="preserve"> Sénat, 29.10.2021, question n° 24777, p. 6787).</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20583437" TargetMode="External"/><Relationship Id="rId8" Type="http://schemas.openxmlformats.org/officeDocument/2006/relationships/hyperlink" Target="https://www.legifrance.gouv.fr/loda/id/LEGITEXT000005621424/" TargetMode="External"/><Relationship Id="rId9" Type="http://schemas.openxmlformats.org/officeDocument/2006/relationships/hyperlink" Target="https://www.legifrance.gouv.fr/loda/article_lc/LEGIARTI000006629048" TargetMode="External"/><Relationship Id="rId10" Type="http://schemas.openxmlformats.org/officeDocument/2006/relationships/hyperlink" Target="http://www.clauses-abusives.fr/recommandation/contrats-de-distribution-de-l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2026-06-08T23:32:59+02:00</dcterms:created>
  <dcterms:modified xsi:type="dcterms:W3CDTF">2026-06-08T23:32:59+02:00</dcterms:modified>
</cp:coreProperties>
</file>

<file path=docProps/custom.xml><?xml version="1.0" encoding="utf-8"?>
<Properties xmlns="http://schemas.openxmlformats.org/officeDocument/2006/custom-properties" xmlns:vt="http://schemas.openxmlformats.org/officeDocument/2006/docPropsVTypes"/>
</file>