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Intérêt pour agir. Appréciation à la date d’affichage du permis. Dérogations en cas de circonstances particulières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Sauf pour le requérant à justifier de circonstances particulières, l'intérêt pour agir contre un permis s'apprécie à la date d'affichage en mairie de la demande du pétitionnaire (art. L 600-1-3 du code de l'urbanisme). Une société devenue propriétaire d'un terrain voisin postérieurement à la délivrance du permis de construire ayant été régulièrement affiché en mairie en demandait l'annulation. La société soutenait notamment que son recours n'avait pour seul but que de mener à bien son propre projet et de préserver ses intérêts, à l'exclusion de toute intention malveillante. Il est jugé que ces circonstances ne sauraient avoir le caractère de circonstances particulières, au sens de l'article L 600-1-3 du code de l'urbanisme. Il en résulte que la demande de la société est irrecevable pour défaut d'intérêt à agir (CE, 13 décembre 2021, </w:t>
      </w:r>
    </w:p>
    <w:p>
      <w:pPr/>
      <w:r>
        <w:rPr>
          <w:i w:val="1"/>
          <w:iCs w:val="1"/>
        </w:rPr>
        <w:t xml:space="preserve">société Ocean's Dream Resort</w:t>
      </w:r>
    </w:p>
    <w:p>
      <w:pPr/>
      <w:r>
        <w:rPr/>
        <w:t xml:space="preserve">, n° 450241).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2026-04-25T06:10:05+02:00</dcterms:created>
  <dcterms:modified xsi:type="dcterms:W3CDTF">2026-04-25T06:10:05+02:00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