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Validité d'un contrat. Vice du consentement. Contrôle du juge de cassation : qualification juridique des faits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Pour un vice de consentement de nature à affecter la validité d'un  contrat, le juge de cassation exerce un contrôle de qualification  juridique des faits (CE, 9 novembre 2021, </w:t>
      </w:r>
    </w:p>
    <w:p>
      <w:pPr/>
      <w:r>
        <w:rPr>
          <w:i w:val="1"/>
          <w:iCs w:val="1"/>
        </w:rPr>
        <w:t xml:space="preserve">SNCF Réseau</w:t>
      </w:r>
    </w:p>
    <w:p>
      <w:pPr/>
      <w:r>
        <w:rPr/>
        <w:t xml:space="preserve">, n° 438388).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2026-06-13T14:43:16+02:00</dcterms:created>
  <dcterms:modified xsi:type="dcterms:W3CDTF">2026-06-13T14:43:16+02:00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