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Fonds national de garantie individuelle des ressources. Critères d'éligibilité et de versement du prélèvement sur recettes aux communes et EPCI contributeurs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2021-1242 du 28 septembre 2021 précise les critères d'éligibilité et de versement du prélèvement sur recettes destiné aux communes et établissements publics de coopération intercommunale à fiscalité propre contributeurs au fonds national de garantie individuelle des ressources prévu au 2.1 de </w:t>
      </w:r>
    </w:p>
    <w:p>
      <w:pPr/>
      <w:hyperlink r:id="rId7" w:history="1">
        <w:r>
          <w:rPr/>
          <w:t xml:space="preserve">l'article 78</w:t>
        </w:r>
      </w:hyperlink>
    </w:p>
    <w:p>
      <w:pPr/>
      <w:r>
        <w:rPr/>
        <w:t xml:space="preserve"> de la loi n° 2009-1673 du 30 décembre 2009 de finances pour 2010.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JORFTEXT000021557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2026-08-15T21:30:53+02:00</dcterms:created>
  <dcterms:modified xsi:type="dcterms:W3CDTF">2026-08-15T21:30:53+02:00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