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 ayant quitté volontairement son emploi. Allocation chômage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En l'espèce, un agent ayant exercé les fonctions d'attachée de presse auprès d’une commune pendant 3 ans, qui se prévalait d'être restée involontairement privée d'emploi plus de 121 jours après le terme de ce contrat, a demandé à la commune de lui verser des allocations d'aide au retour à l'emploi (ARE). Le maire a rejeté cette demande au motif que l’agent avait volontairement quitté son emploi. Le Conseil d’Etat juge que les agents non titulaires des collectivités territoriales (agents visés au 2° de </w:t>
      </w:r>
    </w:p>
    <w:p>
      <w:pPr/>
      <w:hyperlink r:id="rId7" w:history="1">
        <w:r>
          <w:rPr/>
          <w:t xml:space="preserve">l'article L 5424-1</w:t>
        </w:r>
      </w:hyperlink>
    </w:p>
    <w:p>
      <w:pPr/>
      <w:r>
        <w:rPr/>
        <w:t xml:space="preserve"> du code du travail) ayant quitté volontairement leur emploi et dont l'état de chômage se prolonge contre leur volonté, en dépit de démarches actives de recherche d'emploi, ont droit à l'allocation d'aide au retour à l'emploi dès lors qu'ils satisfont à l'ensemble des conditions prévues. Ainsi, la commune ne pouvait légalement fonder son refus sur le fait que l’agent avait quitté volontairement son emploi. Par ailleurs, la commune n'était pas fondée à soutenir que l’agent n'attestait pas de ses recherches actives d'emploi. Par suite, la commune était tenue de lui verser ces allocations (CE, 5 juillet 2021, </w:t>
      </w:r>
    </w:p>
    <w:p>
      <w:pPr/>
      <w:r>
        <w:rPr>
          <w:i w:val="1"/>
          <w:iCs w:val="1"/>
        </w:rPr>
        <w:t xml:space="preserve">Mme B.</w:t>
      </w:r>
    </w:p>
    <w:p>
      <w:pPr/>
      <w:r>
        <w:rPr/>
        <w:t xml:space="preserve">, n° 429191).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89519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2026-09-30T09:24:48+02:00</dcterms:created>
  <dcterms:modified xsi:type="dcterms:W3CDTF">2026-09-30T09:24:48+02:00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