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élus locaux. Montants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12 juillet 2021 porte diverses mesures applicables au droit individuel à la formation des élus locaux :  - la valeur des droits individuels à la formation acquis chaque année par les élus locaux est fixée à 400 € à compter de l'année 2021 ;</w:t>
      </w:r>
    </w:p>
    <w:p/>
    <w:p>
      <w:pPr/>
      <w:r>
        <w:rPr/>
        <w:t xml:space="preserve">- le montant maximal des droits susceptibles d'être détenus par chaque élu est fixé à 1 500 €, jusqu'au 31 décembre 2021 ;</w:t>
      </w:r>
    </w:p>
    <w:p/>
    <w:p>
      <w:pPr/>
      <w:r>
        <w:rPr/>
        <w:t xml:space="preserve">- les droits individuels jusqu’ici calculés en heures sont convertis en appliquant le taux de 15 € /heure ;</w:t>
      </w:r>
    </w:p>
    <w:p/>
    <w:p>
      <w:pPr/>
      <w:r>
        <w:rPr/>
        <w:t xml:space="preserve">- le nombre maximal de participants par session de formation liée à l'exercice du mandat financée en tout ou partie par le droit individuel à la formation des élus locaux est fixé à 15.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2026-04-25T07:40:50+02:00</dcterms:created>
  <dcterms:modified xsi:type="dcterms:W3CDTF">2026-04-25T07:40:50+02:00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