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Interdiction temporaire des locations saisonnières. Pouvoir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juge des référés du Conseil d’État juge que, en l’absence de raison impérieuse liée à des circonstances locales particulières, l’interdiction par le maire des locations saisonnières du 6 au 20 février 2021 porte une atteinte grave et manifestement illégale au droit de propriété et à la liberté du commerce et de l’industrie (CE, 16 février 2021, </w:t>
      </w:r>
    </w:p>
    <w:p>
      <w:pPr/>
      <w:r>
        <w:rPr>
          <w:i w:val="1"/>
          <w:iCs w:val="1"/>
        </w:rPr>
        <w:t xml:space="preserve">Union des professionnels de la location touristique (UPLT)</w:t>
      </w:r>
    </w:p>
    <w:p>
      <w:pPr/>
      <w:r>
        <w:rPr/>
        <w:t xml:space="preserve">, n° 449605).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2026-06-13T05:55:44+02:00</dcterms:created>
  <dcterms:modified xsi:type="dcterms:W3CDTF">2026-06-13T05:55:44+02:00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