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Continuité institutionnelle et dispositions dérogatoires pour les collectivités territoriales pendant l’état d’urgence sanitaire. FAQ (MAJ au 15 décembre 2020)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Informations pratiques</w:t>
      </w:r>
    </w:p>
    <w:p/>
    <w:p>
      <w:pPr/>
      <w:r>
        <w:rPr/>
        <w:t xml:space="preserve">La DGCL a mis à jour sa foire aux questions concernant la continuité institutionnelle et les dispositions dérogatoires pour les collectivités territoriales pendant l’état d’urgence sanitaire.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2026-01-22T21:07:06+01:00</dcterms:created>
  <dcterms:modified xsi:type="dcterms:W3CDTF">2026-01-22T21:07:06+01:00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