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Campagne municipale. Diffusion tardive d’arguments nouveaux. Altération de la sincérité du scrutin. Annulation des élections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le tribunal a relevé deux irrégularités ayant affecté le déroulement de la fin de la campagne électorale. Il s’agissait, d’une part, d’un affichage sauvage à destination des automobilistes qualifiant le maire sortant de menteur, auquel celui-ci n’a pas été en mesure de répondre et, d’autre part, de la publication au sein d’un groupe public Facebook d’allégations mettant en doute sa probité, sans possibilité de réponse. Le tribunal a estimé qu’eu égard au faible écart de 76 voix entre les deux listes, soit 0,9 % des suffrages exprimés, dans un contexte de forte abstention, les deux irrégularités constatées ont altéré la sincérité du scrutin. En conséquence, il a annulé le résultat du premier tour des élections municipales (TA Versailles, 16 novembre 2020, </w:t>
      </w:r>
    </w:p>
    <w:p>
      <w:pPr/>
      <w:r>
        <w:rPr>
          <w:i w:val="1"/>
          <w:iCs w:val="1"/>
        </w:rPr>
        <w:t xml:space="preserve">élections municipales du Chesnay-Rocquencourt</w:t>
      </w:r>
    </w:p>
    <w:p>
      <w:pPr/>
      <w:r>
        <w:rPr/>
        <w:t xml:space="preserve">, n° 2002135).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2026-03-10T06:14:55+01:00</dcterms:created>
  <dcterms:modified xsi:type="dcterms:W3CDTF">2026-03-10T06:14:55+01:00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