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Mesures en matière de santé et de famille</w:t>
      </w:r>
    </w:p>
    <w:p>
      <w:pPr>
        <w:pStyle w:val="Heading2"/>
      </w:pPr>
      <w:r>
        <w:rPr/>
        <w:t xml:space="preserve">Revue - Fonction Publique Territoriale</w:t>
      </w:r>
    </w:p>
    <w:p>
      <w:pPr>
        <w:pStyle w:val="Heading3"/>
      </w:pPr>
      <w:r>
        <w:rPr/>
        <w:t xml:space="preserve">Source - JO</w:t>
      </w:r>
    </w:p>
    <w:p/>
    <w:p>
      <w:pPr/>
      <w:r>
        <w:rPr/>
        <w:t xml:space="preserve"> L’ordonnance n° 2020-1447 du 25 novembre 2020 portant diverses mesures en matière de santé et de famille dans la fonction publique fait évoluer diverses règles relatives à l’aptitude physique des agents publics, des instances médicales et les droits aux congés pour raison de santé. Elle allonge notamment de 30 jours le congé de paternité et d’accueil de l’enfant pour les agents publics, lorsque l’enfant est hospitalisé après la naissance, à l’instar des salariés du secteur privé. L’ordonnance applique par ailleurs immédiatement aux agents publics l’allongement du congé de paternité et d’accueil de l’enfant qui est prévu pour les salariés du secteur privé par le projet de loi de financement de la sécurité sociale pour 2021. Les dispositions relatives au reclassement des fonctionnaires devenus inaptes à l’exercice des fonctions dans leur corps d’origine sont modifiées afin que des reclassements soient désormais possibles entre les différents versants de la fonction publique. De même, l’ordonnance autorisera la portabilité des congés lorsque le fonctionnaire change d’employeur public, ce qui permettra aux personnes connaissant des difficultés de santé d’envisager une mobilité sereinement. Les agents publics pourront également suivre à leur demande des formations ou des bilans de compétence ou pratiquer une activité pendant leurs congés pour raison de santé, dans le but de favoriser leur réadaptation ou leur reconversion professionnelle.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2026-04-25T06:26:20+02:00</dcterms:created>
  <dcterms:modified xsi:type="dcterms:W3CDTF">2026-04-25T06:26:20+02:00</dcterms:modified>
</cp:coreProperties>
</file>

<file path=docProps/custom.xml><?xml version="1.0" encoding="utf-8"?>
<Properties xmlns="http://schemas.openxmlformats.org/officeDocument/2006/custom-properties" xmlns:vt="http://schemas.openxmlformats.org/officeDocument/2006/docPropsVTypes"/>
</file>