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Crise sanitaire. Accueil du public dans les ERP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2020-1358 du 6 novembre 2020 vient modifier notamment </w:t>
      </w:r>
    </w:p>
    <w:p>
      <w:pPr/>
      <w:hyperlink r:id="rId7" w:history="1">
        <w:r>
          <w:rPr/>
          <w:t xml:space="preserve">le décret n° 2020-1310</w:t>
        </w:r>
      </w:hyperlink>
    </w:p>
    <w:p>
      <w:pPr/>
      <w:r>
        <w:rPr/>
        <w:t xml:space="preserve"> du 29 octobre 2020 prescrivant les mesures générales nécessaires pour faire face à l'épidémie de covid-19 dans le cadre de l'état d'urgence sanitaire. Plusieurs cas d'accueil du public dans les ERP ont été ajoutés à </w:t>
      </w:r>
    </w:p>
    <w:p>
      <w:pPr/>
      <w:hyperlink r:id="rId8" w:history="1">
        <w:r>
          <w:rPr/>
          <w:t xml:space="preserve">l'article 28</w:t>
        </w:r>
      </w:hyperlink>
    </w:p>
    <w:p>
      <w:pPr/>
      <w:r>
        <w:rPr/>
        <w:t xml:space="preserve"> du décret n° 2020-1310. Concernant les collectivités locales, les ERP peuvent accueillir du public, dans des conditions de nature à permettre le respect des dispositions de </w:t>
      </w:r>
    </w:p>
    <w:p>
      <w:pPr/>
      <w:hyperlink r:id="rId9" w:history="1">
        <w:r>
          <w:rPr/>
          <w:t xml:space="preserve">l'article 1</w:t>
        </w:r>
      </w:hyperlink>
    </w:p>
    <w:p>
      <w:pPr/>
      <w:hyperlink r:id="rId9" w:history="1">
        <w:r>
          <w:rPr>
            <w:vertAlign w:val="superscript"/>
          </w:rPr>
          <w:t xml:space="preserve">er</w:t>
        </w:r>
      </w:hyperlink>
    </w:p>
    <w:p>
      <w:pPr/>
      <w:r>
        <w:rPr/>
        <w:t xml:space="preserve">, pour :  - les assemblées délibérantes des collectivités et leurs groupements, et les réunions des personnes morales ayant un caractère obligatoire ;</w:t>
      </w:r>
    </w:p>
    <w:p/>
    <w:p>
      <w:pPr/>
      <w:r>
        <w:rPr/>
        <w:t xml:space="preserve">- l'accueil des populations vulnérables et la distribution de produits de première nécessité pour des publics en situation de précarité ;</w:t>
      </w:r>
    </w:p>
    <w:p/>
    <w:p>
      <w:pPr/>
      <w:r>
        <w:rPr/>
        <w:t xml:space="preserve">- l'organisation des dépistages sanitaires, collectes de produits sanguins et actions de vaccination ;</w:t>
      </w:r>
    </w:p>
    <w:p/>
    <w:p>
      <w:pPr/>
      <w:r>
        <w:rPr/>
        <w:t xml:space="preserve">- les événements indispensables à la gestion d'une crise de sécurité civile ou publique et à la continuité de la vie de la Nation.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42475143" TargetMode="External"/><Relationship Id="rId8" Type="http://schemas.openxmlformats.org/officeDocument/2006/relationships/hyperlink" Target="https://www.legifrance.gouv.fr/loda/article_lc/LEGIARTI000042505710" TargetMode="External"/><Relationship Id="rId9" Type="http://schemas.openxmlformats.org/officeDocument/2006/relationships/hyperlink" Target="https://www.legifrance.gouv.fr/loda/article_lc/LEGIARTI000042477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2026-06-13T02:05:55+02:00</dcterms:created>
  <dcterms:modified xsi:type="dcterms:W3CDTF">2026-06-13T02:05:55+02:00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