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entaché d'irrégularité. Résiliation unilatérale. Droit à indemnité</w:t>
      </w:r>
    </w:p>
    <w:p>
      <w:pPr>
        <w:pStyle w:val="Heading2"/>
      </w:pPr>
      <w:r>
        <w:rPr/>
        <w:t xml:space="preserve">Revue - Marchés Publics</w:t>
      </w:r>
    </w:p>
    <w:p>
      <w:pPr>
        <w:pStyle w:val="Heading3"/>
      </w:pPr>
      <w:r>
        <w:rPr/>
        <w:t xml:space="preserve">Source - Jurisprudence</w:t>
      </w:r>
    </w:p>
    <w:p/>
    <w:p>
      <w:pPr/>
      <w:r>
        <w:rPr>
          <w:b w:val="1"/>
          <w:bCs w:val="1"/>
        </w:rPr>
        <w:t xml:space="preserve">1. </w:t>
      </w:r>
    </w:p>
    <w:p>
      <w:pPr/>
      <w:r>
        <w:rPr/>
        <w:t xml:space="preserve">Lorsqu’un contrat est entaché d'une irrégularité d'une gravité telle que, s'il était saisi, le juge du contrat pourrait en prononcer l'annulation ou la résiliation, la personne publique peut, sous réserve de l'exigence de loyauté des relations contractuelles, le résilier unilatéralement. Le Conseil d’État précise le droit à indemnité du cocontractant dans ce cas.  </w:t>
      </w:r>
    </w:p>
    <w:p>
      <w:pPr/>
      <w:r>
        <w:rPr>
          <w:b w:val="1"/>
          <w:bCs w:val="1"/>
        </w:rPr>
        <w:t xml:space="preserve">2.</w:t>
      </w:r>
    </w:p>
    <w:p>
      <w:pPr/>
      <w:r>
        <w:rPr/>
        <w:t xml:space="preserve"> Après une telle résiliation unilatéralement décidée pour ce motif par la personne publique, le cocontractant peut prétendre, sur un terrain quasi-contractuel, pour la période postérieure à la date d'effet de la résiliation, au remboursement de celles de ses dépenses qui ont été utiles à la collectivité envers laquelle il s'était engagé. Si l'irrégularité du contrat résulte d'une faute de l'administration, le cocontractant peut, en outre, sous réserve du partage de responsabilités découlant le cas échéant de ses propres fautes, prétendre à la réparation du dommage imputable à la faute de l'administration. Saisi d'une demande d'indemnité sur ce second fondement, il appartient au juge d'apprécier si le préjudice allégué présente un caractère certain et s'il existe un lien de causalité direct entre la faute de l'administration et le préjudice (CE, 10 juillet 2020, </w:t>
      </w:r>
    </w:p>
    <w:p>
      <w:pPr/>
      <w:r>
        <w:rPr>
          <w:i w:val="1"/>
          <w:iCs w:val="1"/>
        </w:rPr>
        <w:t xml:space="preserve">société Comptoir Négoce Equipements</w:t>
      </w:r>
    </w:p>
    <w:p>
      <w:pPr/>
      <w:r>
        <w:rPr/>
        <w:t xml:space="preserve">, n° 430864).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2026-06-13T00:29:09+02:00</dcterms:created>
  <dcterms:modified xsi:type="dcterms:W3CDTF">2026-06-13T00:29:09+02:00</dcterms:modified>
</cp:coreProperties>
</file>

<file path=docProps/custom.xml><?xml version="1.0" encoding="utf-8"?>
<Properties xmlns="http://schemas.openxmlformats.org/officeDocument/2006/custom-properties" xmlns:vt="http://schemas.openxmlformats.org/officeDocument/2006/docPropsVTypes"/>
</file>