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d'urbanisme. Modification de la hiérarchie des normes</w:t>
      </w:r>
    </w:p>
    <w:p>
      <w:pPr>
        <w:pStyle w:val="Heading2"/>
      </w:pPr>
      <w:r>
        <w:rPr/>
        <w:t xml:space="preserve">Revue - Urbanisme</w:t>
      </w:r>
    </w:p>
    <w:p>
      <w:pPr>
        <w:pStyle w:val="Heading3"/>
      </w:pPr>
      <w:r>
        <w:rPr/>
        <w:t xml:space="preserve">Source - JO</w:t>
      </w:r>
    </w:p>
    <w:p/>
    <w:p>
      <w:pPr/>
      <w:r>
        <w:rPr/>
        <w:t xml:space="preserve"> L’ordonnance n° 2020-745 du 17 juin 2020 est relative à la rationalisation de la hiérarchie des normes applicable aux documents d'urbanisme :  - le schéma de cohérence territoriale (SCoT) se voit conforté dans son rôle de document devant intégrer les enjeux de toutes les politiques sectorielles ayant une incidence en urbanisme ;</w:t>
      </w:r>
    </w:p>
    <w:p/>
    <w:p>
      <w:pPr/>
      <w:r>
        <w:rPr/>
        <w:t xml:space="preserve">- le lien juridique dit de « prise en compte » d’un document sectoriel est remplacé par le lien juridique de compatibilité avec ce document ;</w:t>
      </w:r>
    </w:p>
    <w:p/>
    <w:p>
      <w:pPr/>
      <w:r>
        <w:rPr/>
        <w:t xml:space="preserve">- les délais pour mettre en compatibilité les documents d’urbanisme avec les documents de planification sectoriels se trouvent unifiés. Les collectivités devront examiner tous les trois ans la nécessité de mettre en compatibilité les documents d’urbanisme avec l’ensemble des documents sectoriels qui ont évolué pendant ces 3 ans ;</w:t>
      </w:r>
    </w:p>
    <w:p/>
    <w:p>
      <w:pPr/>
      <w:r>
        <w:rPr/>
        <w:t xml:space="preserve">- la note d’enjeux est introduite. Elle consacre une pratique existante qui permet aux collectivités élaborant des documents d’urbanisme de solliciter du représentant de l’Etat dans le département un exposé stratégique faisant état des enjeux qu’il identifie sur leur territoire et que le document d’urbanisme est appelé à traduire. Cela permettra d’accompagner et de faciliter l’élaboration des documents d’urbanisme et le dialogue entre la collectivité et l’État. Les dispositions de cette ordonnance sont applicables aux schémas de cohérence territoriale, aux plans locaux d’urbanisme, aux documents en tenant lieu et aux cartes communales dont l’élaboration ou la révision est engagée à compter du 1</w:t>
      </w:r>
    </w:p>
    <w:p>
      <w:pPr/>
      <w:r>
        <w:rPr>
          <w:vertAlign w:val="superscript"/>
        </w:rPr>
        <w:t xml:space="preserve">er</w:t>
      </w:r>
    </w:p>
    <w:p>
      <w:pPr/>
      <w:r>
        <w:rPr/>
        <w:t xml:space="preserve"> avril 2021. Des mesures transitoires sont cependant prévues pour les SCOT en cours d’élaboration ou de révision pour appliquer ces simplifications par anticipation. Un projet de loi de ratification sera déposé devant le Parlement dans un délai de 3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2026-04-26T13:57:03+02:00</dcterms:created>
  <dcterms:modified xsi:type="dcterms:W3CDTF">2026-04-26T13:57:03+02:00</dcterms:modified>
</cp:coreProperties>
</file>

<file path=docProps/custom.xml><?xml version="1.0" encoding="utf-8"?>
<Properties xmlns="http://schemas.openxmlformats.org/officeDocument/2006/custom-properties" xmlns:vt="http://schemas.openxmlformats.org/officeDocument/2006/docPropsVTypes"/>
</file>