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 rural. Obstacles. Compétence liée du maire (non). Procédure contradictoire (oui en l’absence d’urgence)</w:t>
      </w:r>
    </w:p>
    <w:p>
      <w:pPr>
        <w:pStyle w:val="Heading2"/>
      </w:pPr>
      <w:r>
        <w:rPr/>
        <w:t xml:space="preserve">Revue - Vie Communale</w:t>
      </w:r>
    </w:p>
    <w:p>
      <w:pPr>
        <w:pStyle w:val="Heading3"/>
      </w:pPr>
      <w:r>
        <w:rPr/>
        <w:t xml:space="preserve">Source - Jurisprudence</w:t>
      </w:r>
    </w:p>
    <w:p/>
    <w:p>
      <w:pPr>
        <w:pStyle w:val="Heading3"/>
      </w:pPr>
      <w:r>
        <w:rPr>
          <w:sz w:val="18"/>
          <w:szCs w:val="18"/>
          <w:b w:val="1"/>
          <w:bCs w:val="1"/>
          <w:i w:val="1"/>
          <w:iCs w:val="1"/>
        </w:rPr>
        <w:t xml:space="preserve">En l’absence d’urgence, le maire doit faire précéder sa décision d'une procédure contradictoire.</w:t>
      </w:r>
    </w:p>
    <w:p>
      <w:pPr/>
      <w:r>
        <w:rPr/>
        <w:t xml:space="preserve"> Le maire a l'obligation de remédier à l'obstacle qui s'oppose à la circulation sur un chemin rural. Toutefois, pour relever l'existence d'un obstacle à la circulation sur le chemin rural et pour déterminer les mesures qui s'imposent, le maire est nécessairement conduit à porter une appréciation sur les faits de l'espèce, notamment sur l'ampleur de la gêne occasionnée et ses conséquences. Ainsi, le maire ne peut être regardé comme se trouvant en situation de compétence liée pour prendre les mesures prévues par l'article D 161-11 du code rural. Si les dispositions de l'article D 161-11 du code rural imposent au maire, lorsqu'un obstacle s'oppose à la circulation sur un chemin rural, de prendre sans délai les mesures propres à remédier à la situation, les conditions dans lesquelles il est ainsi tenu de mettre en œuvre ses pouvoirs de police ne traduisent pas nécessairement l'existence d'une situation d'urgence de nature à dispenser l'autorité administrative de faire précéder sa décision d'une procédure contradictoire. L'existence d'une telle situation d'urgence doit être appréciée concrètement, en fonction des circonstances de l'espèce (CE, 24 février 2020, </w:t>
      </w:r>
    </w:p>
    <w:p>
      <w:pPr/>
      <w:r>
        <w:rPr>
          <w:i w:val="1"/>
          <w:iCs w:val="1"/>
        </w:rPr>
        <w:t xml:space="preserve">SCIF des Fourneaux</w:t>
      </w:r>
    </w:p>
    <w:p>
      <w:pPr/>
      <w:r>
        <w:rPr/>
        <w:t xml:space="preserve">, n° 421086).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2026-04-27T13:58:43+02:00</dcterms:created>
  <dcterms:modified xsi:type="dcterms:W3CDTF">2026-04-27T13:58:43+02:00</dcterms:modified>
</cp:coreProperties>
</file>

<file path=docProps/custom.xml><?xml version="1.0" encoding="utf-8"?>
<Properties xmlns="http://schemas.openxmlformats.org/officeDocument/2006/custom-properties" xmlns:vt="http://schemas.openxmlformats.org/officeDocument/2006/docPropsVTypes"/>
</file>