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Stage. Refus de titularisation. Motivation et procédure contradictoire (non). Stagiaire en congé maladie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L'absence de décision prise à l'issue du stage d’un agent n'a pas pour effet de le faire bénéficier d'une titularisation tacite. L'intéressé a conservé la qualité de stagiaire jusqu'à la date de la décision mettant fin à ses fonctions, ainsi intervenue à l'issue du stage et non au cours de celui-ci. Cette décision n'a pas davantage eu pour objet ou pour effet de prolonger la durée du stage de l'intéressé. 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l'intéressé était placé en congé maladie à la date de la décision mettant fin à ses fonctions, aucun texte ni aucun principe ne faisait obstacle à ce qu'il soit mis fin à ses fonctions et qu'il soit ainsi décidé de le licencier à l'issue de son stage. </w:t>
      </w:r>
    </w:p>
    <w:p>
      <w:pPr/>
      <w:r>
        <w:rPr>
          <w:b w:val="1"/>
          <w:bCs w:val="1"/>
        </w:rPr>
        <w:t xml:space="preserve">3.</w:t>
      </w:r>
    </w:p>
    <w:p>
      <w:pPr/>
      <w:r>
        <w:rPr/>
        <w:t xml:space="preserve"> Cette décision ne revêt pas de caractère disciplinaire et n'entre, de ce fait, dans aucune des catégories de décisions qui doivent être motivées, notamment en application de l'article L 211-2 du code des relations entre le public et l'administration ou qui doivent donner lieu à un entretien préalable (CE, 11 décembre 2019, </w:t>
      </w:r>
    </w:p>
    <w:p>
      <w:pPr/>
      <w:r>
        <w:rPr>
          <w:i w:val="1"/>
          <w:iCs w:val="1"/>
        </w:rPr>
        <w:t xml:space="preserve">Mme B.</w:t>
      </w:r>
    </w:p>
    <w:p>
      <w:pPr/>
      <w:r>
        <w:rPr/>
        <w:t xml:space="preserve">, n° 427522).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2026-01-22T15:18:18+01:00</dcterms:created>
  <dcterms:modified xsi:type="dcterms:W3CDTF">2026-01-22T15:18:18+01:00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