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baigneurs. Requins. Obligation d'information du maire</w:t>
      </w:r>
    </w:p>
    <w:p>
      <w:pPr>
        <w:pStyle w:val="Heading2"/>
      </w:pPr>
      <w:r>
        <w:rPr/>
        <w:t xml:space="preserve">Revue - Pouvoirs de police et sécurité</w:t>
      </w:r>
    </w:p>
    <w:p>
      <w:pPr>
        <w:pStyle w:val="Heading3"/>
      </w:pPr>
      <w:r>
        <w:rPr/>
        <w:t xml:space="preserve">Source - Jurisprudence</w:t>
      </w:r>
    </w:p>
    <w:p/>
    <w:p>
      <w:pPr/>
      <w:r>
        <w:rPr/>
        <w:t xml:space="preserve"> La partie du rivage où s'est déroulé l'accident avait fait l'objet d'un arrêté municipal qui la désignait comme un site dangereux dont l'accès ne pouvait se faire qu'aux risques et périls de la population et qui y interdisait la baignade. D'autre part, avait été installé de manière visible sur le site un panneau sur lequel était mentionné : baignade interdite, site dangereux, accès à vos risques et périls.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(CE, 22 novembre 2019, </w:t>
      </w:r>
    </w:p>
    <w:p>
      <w:pPr/>
      <w:r>
        <w:rPr>
          <w:i w:val="1"/>
          <w:iCs w:val="1"/>
        </w:rPr>
        <w:t xml:space="preserve">M. et Mme A.</w:t>
      </w:r>
    </w:p>
    <w:p>
      <w:pPr/>
      <w:r>
        <w:rPr/>
        <w:t xml:space="preserve">, n° 422655).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2026-03-11T08:47:38+01:00</dcterms:created>
  <dcterms:modified xsi:type="dcterms:W3CDTF">2026-03-11T08:47:38+01:00</dcterms:modified>
</cp:coreProperties>
</file>

<file path=docProps/custom.xml><?xml version="1.0" encoding="utf-8"?>
<Properties xmlns="http://schemas.openxmlformats.org/officeDocument/2006/custom-properties" xmlns:vt="http://schemas.openxmlformats.org/officeDocument/2006/docPropsVTypes"/>
</file>